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55" w:rsidRDefault="00636355" w:rsidP="00FF6B07">
      <w:pPr>
        <w:jc w:val="center"/>
        <w:rPr>
          <w:rFonts w:ascii="Trebuchet MS" w:hAnsi="Trebuchet MS"/>
          <w:b/>
          <w:color w:val="002060"/>
          <w:sz w:val="20"/>
          <w:szCs w:val="20"/>
        </w:rPr>
      </w:pPr>
    </w:p>
    <w:p w:rsidR="00565349" w:rsidRPr="00B42276" w:rsidRDefault="00FF6B07" w:rsidP="00C455FE">
      <w:pPr>
        <w:spacing w:after="40"/>
        <w:jc w:val="center"/>
        <w:rPr>
          <w:rFonts w:ascii="Trebuchet MS" w:hAnsi="Trebuchet MS"/>
          <w:b/>
          <w:color w:val="002060"/>
          <w:sz w:val="26"/>
          <w:szCs w:val="26"/>
        </w:rPr>
      </w:pPr>
      <w:r w:rsidRPr="00B42276">
        <w:rPr>
          <w:rFonts w:ascii="Trebuchet MS" w:hAnsi="Trebuchet MS"/>
          <w:b/>
          <w:color w:val="002060"/>
          <w:sz w:val="26"/>
          <w:szCs w:val="26"/>
        </w:rPr>
        <w:t>Introduction to External Debt Management</w:t>
      </w:r>
    </w:p>
    <w:p w:rsidR="004929EB" w:rsidRPr="00B42276" w:rsidRDefault="00FF6B07" w:rsidP="00C455FE">
      <w:pPr>
        <w:spacing w:after="40"/>
        <w:jc w:val="center"/>
        <w:rPr>
          <w:rFonts w:ascii="Trebuchet MS" w:hAnsi="Trebuchet MS"/>
          <w:b/>
          <w:color w:val="002060"/>
          <w:sz w:val="26"/>
          <w:szCs w:val="26"/>
        </w:rPr>
      </w:pPr>
      <w:r w:rsidRPr="00B42276">
        <w:rPr>
          <w:rFonts w:ascii="Trebuchet MS" w:hAnsi="Trebuchet MS"/>
          <w:b/>
          <w:color w:val="002060"/>
          <w:sz w:val="26"/>
          <w:szCs w:val="26"/>
        </w:rPr>
        <w:t>Course Information Sheet</w:t>
      </w:r>
    </w:p>
    <w:p w:rsidR="00565349" w:rsidRPr="005F6775" w:rsidRDefault="00565349" w:rsidP="00565349">
      <w:pPr>
        <w:spacing w:after="40"/>
        <w:rPr>
          <w:rFonts w:ascii="Trebuchet MS" w:hAnsi="Trebuchet MS"/>
          <w:sz w:val="10"/>
          <w:szCs w:val="10"/>
        </w:rPr>
      </w:pPr>
    </w:p>
    <w:p w:rsidR="009B7366" w:rsidRDefault="000F72E8" w:rsidP="00565349">
      <w:pPr>
        <w:spacing w:after="40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This course</w:t>
      </w:r>
      <w:r w:rsidR="00565349" w:rsidRPr="0099087C">
        <w:rPr>
          <w:rFonts w:ascii="Trebuchet MS" w:hAnsi="Trebuchet MS"/>
          <w:sz w:val="17"/>
          <w:szCs w:val="17"/>
        </w:rPr>
        <w:t xml:space="preserve"> will introduce the concepts and terminology that serve</w:t>
      </w:r>
      <w:r w:rsidR="001E1931">
        <w:rPr>
          <w:rFonts w:ascii="Trebuchet MS" w:hAnsi="Trebuchet MS"/>
          <w:sz w:val="17"/>
          <w:szCs w:val="17"/>
        </w:rPr>
        <w:t>s</w:t>
      </w:r>
      <w:r w:rsidR="00565349" w:rsidRPr="0099087C">
        <w:rPr>
          <w:rFonts w:ascii="Trebuchet MS" w:hAnsi="Trebuchet MS"/>
          <w:sz w:val="17"/>
          <w:szCs w:val="17"/>
        </w:rPr>
        <w:t xml:space="preserve"> as </w:t>
      </w:r>
      <w:r w:rsidR="001E1931">
        <w:rPr>
          <w:rFonts w:ascii="Trebuchet MS" w:hAnsi="Trebuchet MS"/>
          <w:sz w:val="17"/>
          <w:szCs w:val="17"/>
        </w:rPr>
        <w:t>a</w:t>
      </w:r>
      <w:r w:rsidR="001E1931" w:rsidRPr="0099087C">
        <w:rPr>
          <w:rFonts w:ascii="Trebuchet MS" w:hAnsi="Trebuchet MS"/>
          <w:sz w:val="17"/>
          <w:szCs w:val="17"/>
        </w:rPr>
        <w:t xml:space="preserve"> </w:t>
      </w:r>
      <w:r w:rsidR="00565349" w:rsidRPr="0099087C">
        <w:rPr>
          <w:rFonts w:ascii="Trebuchet MS" w:hAnsi="Trebuchet MS"/>
          <w:sz w:val="17"/>
          <w:szCs w:val="17"/>
        </w:rPr>
        <w:t xml:space="preserve">foundation </w:t>
      </w:r>
      <w:r>
        <w:rPr>
          <w:rFonts w:ascii="Trebuchet MS" w:hAnsi="Trebuchet MS"/>
          <w:sz w:val="17"/>
          <w:szCs w:val="17"/>
        </w:rPr>
        <w:t xml:space="preserve">for </w:t>
      </w:r>
      <w:r w:rsidR="00565349" w:rsidRPr="0099087C">
        <w:rPr>
          <w:rFonts w:ascii="Trebuchet MS" w:hAnsi="Trebuchet MS"/>
          <w:sz w:val="17"/>
          <w:szCs w:val="17"/>
        </w:rPr>
        <w:t xml:space="preserve">understanding effective external debt management. Learners need to have this debt management knowledge base in order to work in a debt management office. </w:t>
      </w:r>
    </w:p>
    <w:p w:rsidR="00565349" w:rsidRPr="0099087C" w:rsidRDefault="00565349" w:rsidP="00565349">
      <w:pPr>
        <w:spacing w:after="40"/>
        <w:jc w:val="both"/>
        <w:rPr>
          <w:rFonts w:ascii="Trebuchet MS" w:hAnsi="Trebuchet MS"/>
          <w:sz w:val="17"/>
          <w:szCs w:val="17"/>
        </w:rPr>
      </w:pPr>
      <w:r w:rsidRPr="0099087C">
        <w:rPr>
          <w:rFonts w:ascii="Trebuchet MS" w:hAnsi="Trebuchet MS"/>
          <w:sz w:val="17"/>
          <w:szCs w:val="17"/>
        </w:rPr>
        <w:t xml:space="preserve">In addition, learners will need to understand these concepts in order to effectively use the CS-DRMS software. The delivery of this course </w:t>
      </w:r>
      <w:r w:rsidR="000F72E8">
        <w:rPr>
          <w:rFonts w:ascii="Trebuchet MS" w:hAnsi="Trebuchet MS"/>
          <w:sz w:val="17"/>
          <w:szCs w:val="17"/>
        </w:rPr>
        <w:t>will</w:t>
      </w:r>
      <w:r w:rsidR="000F72E8" w:rsidRPr="0099087C">
        <w:rPr>
          <w:rFonts w:ascii="Trebuchet MS" w:hAnsi="Trebuchet MS"/>
          <w:sz w:val="17"/>
          <w:szCs w:val="17"/>
        </w:rPr>
        <w:t xml:space="preserve"> </w:t>
      </w:r>
      <w:r w:rsidRPr="0099087C">
        <w:rPr>
          <w:rFonts w:ascii="Trebuchet MS" w:hAnsi="Trebuchet MS"/>
          <w:sz w:val="17"/>
          <w:szCs w:val="17"/>
        </w:rPr>
        <w:t>require exercises outside the e-learning portal for the calculations and computations of various debt management indicators.</w:t>
      </w:r>
      <w:r w:rsidR="00457DD9">
        <w:rPr>
          <w:rFonts w:ascii="Trebuchet MS" w:hAnsi="Trebuchet MS"/>
          <w:sz w:val="17"/>
          <w:szCs w:val="17"/>
        </w:rPr>
        <w:t xml:space="preserve"> The course will be run by a tutor </w:t>
      </w:r>
      <w:r w:rsidR="000D2B9D">
        <w:rPr>
          <w:rFonts w:ascii="Trebuchet MS" w:hAnsi="Trebuchet MS"/>
          <w:sz w:val="17"/>
          <w:szCs w:val="17"/>
        </w:rPr>
        <w:t xml:space="preserve">over a </w:t>
      </w:r>
      <w:r w:rsidR="006D5329">
        <w:rPr>
          <w:rFonts w:ascii="Trebuchet MS" w:hAnsi="Trebuchet MS"/>
          <w:sz w:val="17"/>
          <w:szCs w:val="17"/>
        </w:rPr>
        <w:t>six-week</w:t>
      </w:r>
      <w:r w:rsidR="000D2B9D">
        <w:rPr>
          <w:rFonts w:ascii="Trebuchet MS" w:hAnsi="Trebuchet MS"/>
          <w:sz w:val="17"/>
          <w:szCs w:val="17"/>
        </w:rPr>
        <w:t xml:space="preserve"> period</w:t>
      </w:r>
      <w:r w:rsidR="00457DD9">
        <w:rPr>
          <w:rFonts w:ascii="Trebuchet MS" w:hAnsi="Trebuchet MS"/>
          <w:sz w:val="17"/>
          <w:szCs w:val="17"/>
        </w:rPr>
        <w:t>.</w:t>
      </w:r>
    </w:p>
    <w:p w:rsidR="0099087C" w:rsidRPr="00EE664B" w:rsidRDefault="0099087C" w:rsidP="00565349">
      <w:pPr>
        <w:spacing w:after="40"/>
        <w:jc w:val="both"/>
        <w:rPr>
          <w:rFonts w:ascii="Trebuchet MS" w:hAnsi="Trebuchet MS"/>
          <w:sz w:val="16"/>
          <w:szCs w:val="16"/>
        </w:rPr>
      </w:pPr>
    </w:p>
    <w:tbl>
      <w:tblPr>
        <w:tblStyle w:val="PlainTable1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493520" w:rsidTr="00457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single" w:sz="4" w:space="0" w:color="BFBFBF" w:themeColor="background1" w:themeShade="BF"/>
            </w:tcBorders>
          </w:tcPr>
          <w:p w:rsidR="00EE664B" w:rsidRPr="00563B28" w:rsidRDefault="00EE664B" w:rsidP="00493520">
            <w:pPr>
              <w:rPr>
                <w:rFonts w:ascii="Trebuchet MS" w:hAnsi="Trebuchet MS"/>
                <w:color w:val="002060"/>
                <w:sz w:val="10"/>
                <w:szCs w:val="10"/>
              </w:rPr>
            </w:pPr>
          </w:p>
          <w:p w:rsidR="00493520" w:rsidRPr="000973CB" w:rsidRDefault="00493520" w:rsidP="00493520">
            <w:pPr>
              <w:rPr>
                <w:rFonts w:ascii="Trebuchet MS" w:hAnsi="Trebuchet MS"/>
                <w:color w:val="002060"/>
                <w:sz w:val="21"/>
                <w:szCs w:val="21"/>
              </w:rPr>
            </w:pPr>
            <w:r w:rsidRPr="000973CB">
              <w:rPr>
                <w:rFonts w:ascii="Trebuchet MS" w:hAnsi="Trebuchet MS"/>
                <w:color w:val="002060"/>
                <w:sz w:val="21"/>
                <w:szCs w:val="21"/>
              </w:rPr>
              <w:t>Prerequisite</w:t>
            </w:r>
          </w:p>
          <w:p w:rsidR="00493520" w:rsidRPr="008F1D27" w:rsidRDefault="00493520" w:rsidP="00493520">
            <w:pPr>
              <w:rPr>
                <w:rFonts w:ascii="Trebuchet MS" w:hAnsi="Trebuchet MS"/>
                <w:b w:val="0"/>
                <w:color w:val="002060"/>
                <w:sz w:val="10"/>
                <w:szCs w:val="10"/>
              </w:rPr>
            </w:pPr>
          </w:p>
          <w:p w:rsidR="00493520" w:rsidRPr="00825144" w:rsidRDefault="00493520">
            <w:pPr>
              <w:rPr>
                <w:rFonts w:ascii="Trebuchet MS" w:hAnsi="Trebuchet MS"/>
                <w:b w:val="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No pre-course materials </w:t>
            </w:r>
            <w:r w:rsidR="00457DD9">
              <w:rPr>
                <w:rFonts w:ascii="Trebuchet MS" w:hAnsi="Trebuchet MS"/>
                <w:b w:val="0"/>
                <w:sz w:val="17"/>
                <w:szCs w:val="17"/>
              </w:rPr>
              <w:t>or knowledge is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</w:t>
            </w:r>
            <w:r w:rsidR="009B7366">
              <w:rPr>
                <w:rFonts w:ascii="Trebuchet MS" w:hAnsi="Trebuchet MS"/>
                <w:b w:val="0"/>
                <w:sz w:val="17"/>
                <w:szCs w:val="17"/>
              </w:rPr>
              <w:t>required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. Learners are however expected to be working in a Debt Management Office or plan to work in a Debt Management Office.</w:t>
            </w:r>
          </w:p>
          <w:p w:rsidR="00FB0CFC" w:rsidRPr="00493520" w:rsidRDefault="00FB0CFC">
            <w:pPr>
              <w:rPr>
                <w:rFonts w:ascii="Trebuchet MS" w:hAnsi="Trebuchet MS"/>
                <w:b w:val="0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</w:tcPr>
          <w:p w:rsidR="00EE664B" w:rsidRPr="00563B28" w:rsidRDefault="00EE664B" w:rsidP="00FB0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10"/>
                <w:szCs w:val="10"/>
              </w:rPr>
            </w:pPr>
          </w:p>
          <w:p w:rsidR="00FB0CFC" w:rsidRPr="000973CB" w:rsidRDefault="00FB0CFC" w:rsidP="00FB0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1"/>
                <w:szCs w:val="21"/>
              </w:rPr>
            </w:pPr>
            <w:r w:rsidRPr="000973CB">
              <w:rPr>
                <w:rFonts w:ascii="Trebuchet MS" w:hAnsi="Trebuchet MS"/>
                <w:color w:val="002060"/>
                <w:sz w:val="21"/>
                <w:szCs w:val="21"/>
              </w:rPr>
              <w:t>Learning Outcomes</w:t>
            </w:r>
          </w:p>
          <w:p w:rsidR="004D1232" w:rsidRPr="004D1232" w:rsidRDefault="004D1232" w:rsidP="00FB0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002060"/>
                <w:sz w:val="10"/>
                <w:szCs w:val="10"/>
              </w:rPr>
            </w:pPr>
          </w:p>
          <w:p w:rsidR="00FB0CFC" w:rsidRPr="00825144" w:rsidRDefault="00FB0CFC" w:rsidP="00FB0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On completion of the </w:t>
            </w:r>
            <w:r w:rsidR="001E1931">
              <w:rPr>
                <w:rFonts w:ascii="Trebuchet MS" w:hAnsi="Trebuchet MS"/>
                <w:b w:val="0"/>
                <w:sz w:val="17"/>
                <w:szCs w:val="17"/>
              </w:rPr>
              <w:t>course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, learners will be able to:</w:t>
            </w:r>
          </w:p>
          <w:p w:rsidR="004D1232" w:rsidRPr="00825144" w:rsidRDefault="004D1232" w:rsidP="00FB0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</w:p>
          <w:p w:rsidR="00825144" w:rsidRPr="00825144" w:rsidRDefault="00FB0CFC" w:rsidP="0082514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demonstrate their understanding of the definition and purpose of external debt management;</w:t>
            </w:r>
          </w:p>
          <w:p w:rsidR="00825144" w:rsidRPr="00825144" w:rsidRDefault="00825144" w:rsidP="00825144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</w:p>
          <w:p w:rsidR="00825144" w:rsidRPr="00825144" w:rsidRDefault="00FB0CFC" w:rsidP="0082514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describe why external debt management is important for a country’s effective and efficient debt management and describe the</w:t>
            </w:r>
            <w:r w:rsidR="002C11E3">
              <w:rPr>
                <w:rFonts w:ascii="Trebuchet MS" w:hAnsi="Trebuchet MS"/>
                <w:b w:val="0"/>
                <w:sz w:val="17"/>
                <w:szCs w:val="17"/>
              </w:rPr>
              <w:t xml:space="preserve"> loan and bond issuance process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</w:p>
          <w:p w:rsidR="00825144" w:rsidRPr="00825144" w:rsidRDefault="00825144" w:rsidP="00825144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</w:p>
          <w:p w:rsidR="002C11E3" w:rsidRDefault="00FB0CFC" w:rsidP="0082514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understand and explain external debt management terms and concepts</w:t>
            </w:r>
            <w:r w:rsidR="002C11E3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</w:p>
          <w:p w:rsidR="002C11E3" w:rsidRPr="006B232D" w:rsidRDefault="002C11E3" w:rsidP="006B232D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7"/>
                <w:szCs w:val="17"/>
              </w:rPr>
            </w:pPr>
          </w:p>
          <w:p w:rsidR="00825144" w:rsidRPr="00825144" w:rsidRDefault="002C11E3" w:rsidP="0082514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  <w:r>
              <w:rPr>
                <w:rFonts w:ascii="Trebuchet MS" w:hAnsi="Trebuchet MS"/>
                <w:b w:val="0"/>
                <w:sz w:val="17"/>
                <w:szCs w:val="17"/>
              </w:rPr>
              <w:t>Understand the different ways that debt can be reorganised;</w:t>
            </w:r>
          </w:p>
          <w:p w:rsidR="00825144" w:rsidRPr="00825144" w:rsidRDefault="00825144" w:rsidP="00825144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7"/>
                <w:szCs w:val="17"/>
              </w:rPr>
            </w:pPr>
          </w:p>
          <w:p w:rsidR="002C11E3" w:rsidRPr="006B232D" w:rsidRDefault="00FB0CFC" w:rsidP="006B232D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Interpret and calculate various key external debt indicators.</w:t>
            </w:r>
          </w:p>
        </w:tc>
      </w:tr>
      <w:tr w:rsidR="00493520" w:rsidTr="0045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EE664B" w:rsidRPr="00563B28" w:rsidRDefault="00EE664B" w:rsidP="00493520">
            <w:pPr>
              <w:rPr>
                <w:rFonts w:ascii="Trebuchet MS" w:hAnsi="Trebuchet MS"/>
                <w:color w:val="002060"/>
                <w:sz w:val="10"/>
                <w:szCs w:val="10"/>
              </w:rPr>
            </w:pPr>
          </w:p>
          <w:p w:rsidR="00493520" w:rsidRPr="000973CB" w:rsidRDefault="00457DD9" w:rsidP="00493520">
            <w:pPr>
              <w:rPr>
                <w:rFonts w:ascii="Trebuchet MS" w:hAnsi="Trebuchet MS"/>
                <w:color w:val="002060"/>
                <w:sz w:val="21"/>
                <w:szCs w:val="21"/>
              </w:rPr>
            </w:pPr>
            <w:r>
              <w:rPr>
                <w:rFonts w:ascii="Trebuchet MS" w:hAnsi="Trebuchet MS"/>
                <w:color w:val="002060"/>
                <w:sz w:val="21"/>
                <w:szCs w:val="21"/>
              </w:rPr>
              <w:t>Supplementary</w:t>
            </w:r>
            <w:r w:rsidR="00493520" w:rsidRPr="000973CB">
              <w:rPr>
                <w:rFonts w:ascii="Trebuchet MS" w:hAnsi="Trebuchet MS"/>
                <w:color w:val="002060"/>
                <w:sz w:val="21"/>
                <w:szCs w:val="21"/>
              </w:rPr>
              <w:t xml:space="preserve"> Reading </w:t>
            </w:r>
          </w:p>
          <w:p w:rsidR="00493520" w:rsidRPr="008F1D27" w:rsidRDefault="00493520" w:rsidP="00493520">
            <w:pPr>
              <w:rPr>
                <w:rFonts w:ascii="Trebuchet MS" w:hAnsi="Trebuchet MS"/>
                <w:b w:val="0"/>
                <w:color w:val="002060"/>
                <w:sz w:val="10"/>
                <w:szCs w:val="10"/>
              </w:rPr>
            </w:pPr>
          </w:p>
          <w:p w:rsidR="00493520" w:rsidRPr="00825144" w:rsidRDefault="00493520" w:rsidP="00493520">
            <w:pPr>
              <w:rPr>
                <w:rFonts w:ascii="Trebuchet MS" w:hAnsi="Trebuchet MS"/>
                <w:b w:val="0"/>
                <w:bCs w:val="0"/>
                <w:color w:val="0070C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Users are encouraged to get a copy of both the </w:t>
            </w:r>
            <w:r w:rsidRPr="00825144">
              <w:rPr>
                <w:rFonts w:ascii="Trebuchet MS" w:hAnsi="Trebuchet MS"/>
                <w:b w:val="0"/>
                <w:bCs w:val="0"/>
                <w:color w:val="0070C0"/>
                <w:sz w:val="17"/>
                <w:szCs w:val="17"/>
              </w:rPr>
              <w:t>2013 External Debt Statistics: Guide for Compilers and Users (2013 EDS Guide)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as well as the </w:t>
            </w:r>
            <w:r w:rsidRPr="00825144">
              <w:rPr>
                <w:rFonts w:ascii="Trebuchet MS" w:hAnsi="Trebuchet MS"/>
                <w:b w:val="0"/>
                <w:bCs w:val="0"/>
                <w:color w:val="0070C0"/>
                <w:sz w:val="17"/>
                <w:szCs w:val="17"/>
              </w:rPr>
              <w:t>IMF - Public Sector Debt Guide (2013).</w:t>
            </w:r>
          </w:p>
          <w:p w:rsidR="00FB0CFC" w:rsidRDefault="00FB0CFC" w:rsidP="00493520">
            <w:pPr>
              <w:rPr>
                <w:rFonts w:ascii="Trebuchet MS" w:hAnsi="Trebuchet MS"/>
              </w:rPr>
            </w:pPr>
          </w:p>
        </w:tc>
        <w:tc>
          <w:tcPr>
            <w:tcW w:w="4819" w:type="dxa"/>
            <w:vMerge/>
          </w:tcPr>
          <w:p w:rsidR="00493520" w:rsidRDefault="00493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493520" w:rsidTr="00457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single" w:sz="4" w:space="0" w:color="BFBFBF" w:themeColor="background1" w:themeShade="BF"/>
            </w:tcBorders>
          </w:tcPr>
          <w:p w:rsidR="00EE664B" w:rsidRPr="00563B28" w:rsidRDefault="00EE664B" w:rsidP="00FB0CFC">
            <w:pPr>
              <w:rPr>
                <w:rFonts w:ascii="Trebuchet MS" w:hAnsi="Trebuchet MS"/>
                <w:color w:val="002060"/>
                <w:sz w:val="10"/>
                <w:szCs w:val="10"/>
              </w:rPr>
            </w:pPr>
          </w:p>
          <w:p w:rsidR="00FB0CFC" w:rsidRPr="000973CB" w:rsidRDefault="00FB0CFC" w:rsidP="00FB0CFC">
            <w:pPr>
              <w:rPr>
                <w:rFonts w:ascii="Trebuchet MS" w:hAnsi="Trebuchet MS"/>
                <w:color w:val="002060"/>
                <w:sz w:val="21"/>
                <w:szCs w:val="21"/>
              </w:rPr>
            </w:pPr>
            <w:r w:rsidRPr="000973CB">
              <w:rPr>
                <w:rFonts w:ascii="Trebuchet MS" w:hAnsi="Trebuchet MS"/>
                <w:color w:val="002060"/>
                <w:sz w:val="21"/>
                <w:szCs w:val="21"/>
              </w:rPr>
              <w:t>Assessment</w:t>
            </w:r>
          </w:p>
          <w:p w:rsidR="00FB0CFC" w:rsidRPr="008F1D27" w:rsidRDefault="00FB0CFC" w:rsidP="00FB0CFC">
            <w:pPr>
              <w:rPr>
                <w:rFonts w:ascii="Trebuchet MS" w:hAnsi="Trebuchet MS"/>
                <w:b w:val="0"/>
                <w:color w:val="002060"/>
                <w:sz w:val="10"/>
                <w:szCs w:val="10"/>
              </w:rPr>
            </w:pPr>
          </w:p>
          <w:p w:rsidR="00FB0CFC" w:rsidRPr="00825144" w:rsidRDefault="00FB0CFC" w:rsidP="00FB0CFC">
            <w:pPr>
              <w:rPr>
                <w:rFonts w:ascii="Trebuchet MS" w:hAnsi="Trebuchet MS"/>
                <w:b w:val="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This course is </w:t>
            </w:r>
            <w:r w:rsidR="000F72E8">
              <w:rPr>
                <w:rFonts w:ascii="Trebuchet MS" w:hAnsi="Trebuchet MS"/>
                <w:b w:val="0"/>
                <w:sz w:val="17"/>
                <w:szCs w:val="17"/>
              </w:rPr>
              <w:t>concluded with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a final assessment comprising a number of multiple choice question</w:t>
            </w:r>
            <w:r w:rsidR="000F72E8">
              <w:rPr>
                <w:rFonts w:ascii="Trebuchet MS" w:hAnsi="Trebuchet MS"/>
                <w:b w:val="0"/>
                <w:sz w:val="17"/>
                <w:szCs w:val="17"/>
              </w:rPr>
              <w:t>s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. The assessment should take about 1 ½ hours to complete. In addition, </w:t>
            </w:r>
            <w:r w:rsidR="009B7366">
              <w:rPr>
                <w:rFonts w:ascii="Trebuchet MS" w:hAnsi="Trebuchet MS"/>
                <w:b w:val="0"/>
                <w:sz w:val="17"/>
                <w:szCs w:val="17"/>
              </w:rPr>
              <w:t xml:space="preserve">small </w:t>
            </w:r>
            <w:r w:rsidR="002C11E3">
              <w:rPr>
                <w:rFonts w:ascii="Trebuchet MS" w:hAnsi="Trebuchet MS"/>
                <w:b w:val="0"/>
                <w:sz w:val="17"/>
                <w:szCs w:val="17"/>
              </w:rPr>
              <w:t>assessment</w:t>
            </w:r>
            <w:r w:rsidR="009B7366">
              <w:rPr>
                <w:rFonts w:ascii="Trebuchet MS" w:hAnsi="Trebuchet MS"/>
                <w:b w:val="0"/>
                <w:sz w:val="17"/>
                <w:szCs w:val="17"/>
              </w:rPr>
              <w:t>s</w:t>
            </w:r>
            <w:r w:rsidR="002C11E3">
              <w:rPr>
                <w:rFonts w:ascii="Trebuchet MS" w:hAnsi="Trebuchet MS"/>
                <w:b w:val="0"/>
                <w:sz w:val="17"/>
                <w:szCs w:val="17"/>
              </w:rPr>
              <w:t xml:space="preserve"> are </w:t>
            </w:r>
            <w:r w:rsidR="001E1931">
              <w:rPr>
                <w:rFonts w:ascii="Trebuchet MS" w:hAnsi="Trebuchet MS"/>
                <w:b w:val="0"/>
                <w:sz w:val="17"/>
                <w:szCs w:val="17"/>
              </w:rPr>
              <w:t xml:space="preserve">included </w:t>
            </w:r>
            <w:r w:rsidR="002C11E3">
              <w:rPr>
                <w:rFonts w:ascii="Trebuchet MS" w:hAnsi="Trebuchet MS"/>
                <w:b w:val="0"/>
                <w:sz w:val="17"/>
                <w:szCs w:val="17"/>
              </w:rPr>
              <w:t xml:space="preserve">in 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each lesson</w:t>
            </w:r>
            <w:r w:rsidR="002C11E3">
              <w:rPr>
                <w:rFonts w:ascii="Trebuchet MS" w:hAnsi="Trebuchet MS"/>
                <w:b w:val="0"/>
                <w:sz w:val="17"/>
                <w:szCs w:val="17"/>
              </w:rPr>
              <w:t>.</w:t>
            </w:r>
          </w:p>
          <w:p w:rsidR="00493520" w:rsidRDefault="00493520">
            <w:pPr>
              <w:rPr>
                <w:rFonts w:ascii="Trebuchet MS" w:hAnsi="Trebuchet MS"/>
              </w:rPr>
            </w:pPr>
          </w:p>
        </w:tc>
        <w:tc>
          <w:tcPr>
            <w:tcW w:w="4819" w:type="dxa"/>
            <w:vMerge/>
            <w:tcBorders>
              <w:bottom w:val="single" w:sz="4" w:space="0" w:color="BFBFBF" w:themeColor="background1" w:themeShade="BF"/>
            </w:tcBorders>
          </w:tcPr>
          <w:p w:rsidR="00493520" w:rsidRDefault="00493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493520" w:rsidTr="0045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auto"/>
          </w:tcPr>
          <w:p w:rsidR="005A0B3F" w:rsidRPr="00563B28" w:rsidRDefault="005A0B3F" w:rsidP="00EE664B">
            <w:pPr>
              <w:rPr>
                <w:rFonts w:ascii="Trebuchet MS" w:hAnsi="Trebuchet MS"/>
                <w:color w:val="002060"/>
                <w:sz w:val="10"/>
                <w:szCs w:val="10"/>
              </w:rPr>
            </w:pPr>
          </w:p>
          <w:p w:rsidR="00EE664B" w:rsidRPr="000973CB" w:rsidRDefault="00EE664B" w:rsidP="00EE664B">
            <w:pPr>
              <w:rPr>
                <w:rFonts w:ascii="Trebuchet MS" w:hAnsi="Trebuchet MS"/>
                <w:b w:val="0"/>
                <w:bCs w:val="0"/>
                <w:color w:val="002060"/>
                <w:sz w:val="21"/>
                <w:szCs w:val="21"/>
              </w:rPr>
            </w:pPr>
            <w:r w:rsidRPr="000973CB">
              <w:rPr>
                <w:rFonts w:ascii="Trebuchet MS" w:hAnsi="Trebuchet MS"/>
                <w:bCs w:val="0"/>
                <w:color w:val="002060"/>
                <w:sz w:val="21"/>
                <w:szCs w:val="21"/>
              </w:rPr>
              <w:t>Course Syllabus</w:t>
            </w:r>
          </w:p>
          <w:p w:rsidR="00EE664B" w:rsidRDefault="00EE664B" w:rsidP="00EE664B">
            <w:pPr>
              <w:rPr>
                <w:rFonts w:ascii="Trebuchet MS" w:hAnsi="Trebuchet MS"/>
                <w:sz w:val="16"/>
                <w:szCs w:val="16"/>
              </w:rPr>
            </w:pPr>
          </w:p>
          <w:p w:rsidR="00EE664B" w:rsidRPr="00EE664B" w:rsidRDefault="00EE664B" w:rsidP="00EE664B">
            <w:pPr>
              <w:jc w:val="both"/>
              <w:rPr>
                <w:rFonts w:ascii="Trebuchet MS" w:hAnsi="Trebuchet MS"/>
                <w:b w:val="0"/>
                <w:sz w:val="16"/>
                <w:szCs w:val="16"/>
              </w:rPr>
            </w:pPr>
            <w:r w:rsidRPr="00EE664B">
              <w:rPr>
                <w:rFonts w:ascii="Trebuchet MS" w:hAnsi="Trebuchet MS"/>
                <w:b w:val="0"/>
                <w:sz w:val="16"/>
                <w:szCs w:val="16"/>
              </w:rPr>
              <w:t xml:space="preserve">The course is divided into five </w:t>
            </w:r>
            <w:r w:rsidR="001E1931">
              <w:rPr>
                <w:rFonts w:ascii="Trebuchet MS" w:hAnsi="Trebuchet MS"/>
                <w:b w:val="0"/>
                <w:sz w:val="16"/>
                <w:szCs w:val="16"/>
              </w:rPr>
              <w:t>modules.</w:t>
            </w:r>
          </w:p>
          <w:p w:rsidR="00EE664B" w:rsidRDefault="00EE664B" w:rsidP="00EE664B">
            <w:pPr>
              <w:jc w:val="both"/>
              <w:rPr>
                <w:rFonts w:ascii="Trebuchet MS" w:hAnsi="Trebuchet MS"/>
                <w:b w:val="0"/>
                <w:sz w:val="16"/>
                <w:szCs w:val="16"/>
              </w:rPr>
            </w:pPr>
          </w:p>
          <w:p w:rsidR="00DC4ABE" w:rsidRPr="000973CB" w:rsidRDefault="0030718A" w:rsidP="00DC4ABE">
            <w:pPr>
              <w:jc w:val="both"/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Module</w:t>
            </w:r>
            <w:r w:rsidR="00DC4ABE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 xml:space="preserve"> 1</w:t>
            </w:r>
            <w:r w:rsidR="00DC4ABE" w:rsidRPr="000973CB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: Legal and Institutional Arrangements for Debt Management</w:t>
            </w:r>
          </w:p>
          <w:p w:rsidR="00DC4ABE" w:rsidRPr="00825144" w:rsidRDefault="00DC4ABE" w:rsidP="00DC4ABE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In this </w:t>
            </w:r>
            <w:r w:rsidR="001E1931">
              <w:rPr>
                <w:rFonts w:ascii="Trebuchet MS" w:hAnsi="Trebuchet MS"/>
                <w:b w:val="0"/>
                <w:sz w:val="17"/>
                <w:szCs w:val="17"/>
              </w:rPr>
              <w:t>module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, institutional arrangements for debt management</w:t>
            </w:r>
            <w:r w:rsidR="001E1931">
              <w:rPr>
                <w:rFonts w:ascii="Trebuchet MS" w:hAnsi="Trebuchet MS"/>
                <w:b w:val="0"/>
                <w:sz w:val="17"/>
                <w:szCs w:val="17"/>
              </w:rPr>
              <w:t xml:space="preserve"> are examined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.  More specifically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: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(i) </w:t>
            </w:r>
            <w:r w:rsidR="001E1931">
              <w:rPr>
                <w:rFonts w:ascii="Trebuchet MS" w:hAnsi="Trebuchet MS"/>
                <w:b w:val="0"/>
                <w:sz w:val="17"/>
                <w:szCs w:val="17"/>
              </w:rPr>
              <w:t>G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ood governance in the context of debt management</w:t>
            </w:r>
            <w:r w:rsidR="001E1931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(ii) </w:t>
            </w:r>
            <w:r w:rsidR="001E1931">
              <w:rPr>
                <w:rFonts w:ascii="Trebuchet MS" w:hAnsi="Trebuchet MS"/>
                <w:b w:val="0"/>
                <w:sz w:val="17"/>
                <w:szCs w:val="17"/>
              </w:rPr>
              <w:t>T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he main aims of debt management policy</w:t>
            </w:r>
            <w:r w:rsidR="001E1931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(iii)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T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he legal framework for debt management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(iv)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T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he specific institutional roles of the main entities involved in debt management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(v)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T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he location of a debt management office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(vi)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T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he organisational structure of a debt management office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; and</w:t>
            </w:r>
            <w:r>
              <w:rPr>
                <w:rFonts w:ascii="Trebuchet MS" w:hAnsi="Trebuchet MS"/>
                <w:b w:val="0"/>
                <w:sz w:val="17"/>
                <w:szCs w:val="17"/>
              </w:rPr>
              <w:t xml:space="preserve"> (vii)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T</w:t>
            </w:r>
            <w:r>
              <w:rPr>
                <w:rFonts w:ascii="Trebuchet MS" w:hAnsi="Trebuchet MS"/>
                <w:b w:val="0"/>
                <w:sz w:val="17"/>
                <w:szCs w:val="17"/>
              </w:rPr>
              <w:t>he process for contracting debt.</w:t>
            </w:r>
          </w:p>
          <w:p w:rsidR="00DC4ABE" w:rsidRDefault="00DC4ABE" w:rsidP="00EE664B">
            <w:pPr>
              <w:jc w:val="both"/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</w:pPr>
          </w:p>
          <w:p w:rsidR="00EE664B" w:rsidRPr="000973CB" w:rsidRDefault="0030718A" w:rsidP="00EE664B">
            <w:pPr>
              <w:jc w:val="both"/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Module</w:t>
            </w:r>
            <w:r w:rsidR="00EE664B" w:rsidRPr="000973CB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 xml:space="preserve"> </w:t>
            </w:r>
            <w:r w:rsidR="00DC4ABE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2</w:t>
            </w:r>
            <w:r w:rsidR="00EE664B" w:rsidRPr="000973CB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: Introduction to External Debt Management</w:t>
            </w:r>
          </w:p>
          <w:p w:rsidR="00EE664B" w:rsidRPr="00825144" w:rsidRDefault="00EE664B" w:rsidP="00EE664B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In this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module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external debt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 xml:space="preserve">is 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very precisely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 xml:space="preserve"> defined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and then a number of related accounting principles and external debt concepts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 xml:space="preserve"> are examined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. 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M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any external debt definitions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 xml:space="preserve">are shared 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in this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module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.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Also in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this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module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,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learners</w:t>
            </w:r>
            <w:r w:rsidR="009E3B46"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will make use of these definitions by reviewing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their</w:t>
            </w:r>
            <w:r w:rsidR="009E3B46"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country’s own external debt portfolio and identifying the types of external debt it is composed of.</w:t>
            </w:r>
          </w:p>
          <w:p w:rsidR="00EE664B" w:rsidRPr="00EE664B" w:rsidRDefault="00EE664B" w:rsidP="00EE664B">
            <w:pPr>
              <w:jc w:val="both"/>
              <w:rPr>
                <w:rFonts w:ascii="Trebuchet MS" w:hAnsi="Trebuchet MS"/>
                <w:b w:val="0"/>
                <w:sz w:val="16"/>
                <w:szCs w:val="16"/>
              </w:rPr>
            </w:pPr>
          </w:p>
          <w:p w:rsidR="00EE664B" w:rsidRPr="000973CB" w:rsidRDefault="0030718A" w:rsidP="00EE664B">
            <w:pPr>
              <w:jc w:val="both"/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Module</w:t>
            </w:r>
            <w:r w:rsidR="00EE664B" w:rsidRPr="000973CB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 xml:space="preserve"> 3: The Loan Cycle and International Bond Issuance</w:t>
            </w:r>
          </w:p>
          <w:p w:rsidR="00EE664B" w:rsidRPr="00825144" w:rsidRDefault="00EE664B" w:rsidP="00EE664B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This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module</w:t>
            </w:r>
            <w:r w:rsidR="009E3B46"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presents the six stages of the loan cycle and introduces key debt management terms. The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module</w:t>
            </w:r>
            <w:r w:rsidR="009E3B46"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will also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cover</w:t>
            </w:r>
            <w:r w:rsidR="009E3B46"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the key stages for issuing an International Bond. </w:t>
            </w:r>
          </w:p>
          <w:p w:rsidR="00EE664B" w:rsidRPr="00EE664B" w:rsidRDefault="00EE664B" w:rsidP="00EE664B">
            <w:pPr>
              <w:jc w:val="both"/>
              <w:rPr>
                <w:rFonts w:ascii="Trebuchet MS" w:hAnsi="Trebuchet MS"/>
                <w:b w:val="0"/>
                <w:sz w:val="16"/>
                <w:szCs w:val="16"/>
              </w:rPr>
            </w:pPr>
          </w:p>
          <w:p w:rsidR="00EE664B" w:rsidRPr="000973CB" w:rsidRDefault="0030718A" w:rsidP="00EE664B">
            <w:pPr>
              <w:jc w:val="both"/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Module</w:t>
            </w:r>
            <w:r w:rsidR="00EE664B" w:rsidRPr="000973CB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 xml:space="preserve"> 4: Key Elements of an Instrument Agreement</w:t>
            </w:r>
          </w:p>
          <w:p w:rsidR="00EE664B" w:rsidRPr="00825144" w:rsidRDefault="00EE664B" w:rsidP="00EE664B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This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module</w:t>
            </w:r>
            <w:r w:rsidR="009E3B46"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explains how a loan agreement establishes the contractual framework through which borrowing occurs.  It identifies seven standard elements of a loan agreement and explains the importance of each element. It also explains the key elements of a term sheet for an international bond issuance. The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module</w:t>
            </w:r>
            <w:r w:rsidR="009E3B46"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also describes the information that needs to be extracted from a loan agreement and a term sheet for recording in the Commonwealth Secretariat Debt Management and Recording System (CS-DRMS) to ensure a comprehensive external debt database.  </w:t>
            </w:r>
          </w:p>
          <w:p w:rsidR="00EE664B" w:rsidRPr="00EE664B" w:rsidRDefault="00EE664B" w:rsidP="00EE664B">
            <w:pPr>
              <w:jc w:val="both"/>
              <w:rPr>
                <w:rFonts w:ascii="Trebuchet MS" w:hAnsi="Trebuchet MS"/>
                <w:b w:val="0"/>
                <w:sz w:val="16"/>
                <w:szCs w:val="16"/>
              </w:rPr>
            </w:pPr>
          </w:p>
          <w:p w:rsidR="00EE664B" w:rsidRPr="000973CB" w:rsidRDefault="0030718A" w:rsidP="00EE664B">
            <w:pPr>
              <w:jc w:val="both"/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>Module</w:t>
            </w:r>
            <w:r w:rsidR="00EE664B" w:rsidRPr="000973CB">
              <w:rPr>
                <w:rFonts w:ascii="Trebuchet MS" w:hAnsi="Trebuchet MS"/>
                <w:bCs w:val="0"/>
                <w:color w:val="002060"/>
                <w:sz w:val="18"/>
                <w:szCs w:val="18"/>
              </w:rPr>
              <w:t xml:space="preserve"> 5: Debt Reorganization</w:t>
            </w:r>
          </w:p>
          <w:p w:rsidR="00493520" w:rsidRDefault="00EE664B" w:rsidP="009B7366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This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module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focus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es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on the key aspects of debt reorganisation.  Specifically, the 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module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look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s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at: (i) Defin</w:t>
            </w:r>
            <w:r w:rsidR="00DC4ABE">
              <w:rPr>
                <w:rFonts w:ascii="Trebuchet MS" w:hAnsi="Trebuchet MS"/>
                <w:b w:val="0"/>
                <w:sz w:val="17"/>
                <w:szCs w:val="17"/>
              </w:rPr>
              <w:t>ing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what a debt reorganisation is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(ii) Examin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ing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why some countries reorganise their debt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(iii) Identify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ing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and explain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ing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the five main types of debt reorganisation</w:t>
            </w:r>
            <w:r w:rsidR="009E3B46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(iv) </w:t>
            </w:r>
            <w:r w:rsidR="009B7366">
              <w:rPr>
                <w:rFonts w:ascii="Trebuchet MS" w:hAnsi="Trebuchet MS"/>
                <w:b w:val="0"/>
                <w:sz w:val="17"/>
                <w:szCs w:val="17"/>
              </w:rPr>
              <w:t>T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he international forums in which debt reorganisations are  negotiated with specific groups of creditors</w:t>
            </w:r>
            <w:r w:rsidR="009B7366">
              <w:rPr>
                <w:rFonts w:ascii="Trebuchet MS" w:hAnsi="Trebuchet MS"/>
                <w:b w:val="0"/>
                <w:sz w:val="17"/>
                <w:szCs w:val="17"/>
              </w:rPr>
              <w:t>;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 xml:space="preserve"> (v) </w:t>
            </w:r>
            <w:r w:rsidR="009B7366">
              <w:rPr>
                <w:rFonts w:ascii="Trebuchet MS" w:hAnsi="Trebuchet MS"/>
                <w:b w:val="0"/>
                <w:sz w:val="17"/>
                <w:szCs w:val="17"/>
              </w:rPr>
              <w:t>T</w:t>
            </w:r>
            <w:r w:rsidRPr="00825144">
              <w:rPr>
                <w:rFonts w:ascii="Trebuchet MS" w:hAnsi="Trebuchet MS"/>
                <w:b w:val="0"/>
                <w:sz w:val="17"/>
                <w:szCs w:val="17"/>
              </w:rPr>
              <w:t>he types of information you will need to extract from a restructuring agreement for data capture in the Commonwealth Secretariat’s Debt Recording and Management System (CS-DRMS).</w:t>
            </w:r>
          </w:p>
          <w:p w:rsidR="008A0830" w:rsidRDefault="008A0830" w:rsidP="009B7366">
            <w:pPr>
              <w:jc w:val="both"/>
              <w:rPr>
                <w:rFonts w:ascii="Trebuchet MS" w:hAnsi="Trebuchet MS"/>
                <w:b w:val="0"/>
                <w:sz w:val="17"/>
                <w:szCs w:val="17"/>
              </w:rPr>
            </w:pPr>
          </w:p>
          <w:p w:rsidR="008A0830" w:rsidRPr="006B232D" w:rsidRDefault="008A0830" w:rsidP="008A0830">
            <w:pPr>
              <w:jc w:val="right"/>
              <w:rPr>
                <w:rFonts w:ascii="Trebuchet MS" w:hAnsi="Trebuchet MS"/>
                <w:b w:val="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493520" w:rsidRPr="00526623" w:rsidRDefault="00493520" w:rsidP="006B232D">
      <w:pPr>
        <w:rPr>
          <w:rFonts w:ascii="Trebuchet MS" w:hAnsi="Trebuchet MS"/>
        </w:rPr>
      </w:pPr>
    </w:p>
    <w:sectPr w:rsidR="00493520" w:rsidRPr="00526623" w:rsidSect="00825144">
      <w:headerReference w:type="default" r:id="rId8"/>
      <w:footerReference w:type="default" r:id="rId9"/>
      <w:pgSz w:w="11906" w:h="16838"/>
      <w:pgMar w:top="1418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31" w:rsidRDefault="00931A31" w:rsidP="00636355">
      <w:pPr>
        <w:spacing w:after="0" w:line="240" w:lineRule="auto"/>
      </w:pPr>
      <w:r>
        <w:separator/>
      </w:r>
    </w:p>
  </w:endnote>
  <w:endnote w:type="continuationSeparator" w:id="0">
    <w:p w:rsidR="00931A31" w:rsidRDefault="00931A31" w:rsidP="0063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7C" w:rsidRPr="0099087C" w:rsidRDefault="0099087C">
    <w:pPr>
      <w:pStyle w:val="Footer"/>
      <w:rPr>
        <w:sz w:val="16"/>
        <w:szCs w:val="16"/>
      </w:rPr>
    </w:pPr>
    <w:r>
      <w:rPr>
        <w:sz w:val="16"/>
        <w:szCs w:val="16"/>
      </w:rPr>
      <w:t xml:space="preserve">Debt Management Unit, The Commonwealth                                        </w:t>
    </w:r>
    <w:r w:rsidR="0087434E">
      <w:rPr>
        <w:sz w:val="16"/>
        <w:szCs w:val="16"/>
      </w:rPr>
      <w:tab/>
    </w:r>
    <w:r w:rsidR="0087434E">
      <w:rPr>
        <w:sz w:val="16"/>
        <w:szCs w:val="16"/>
      </w:rPr>
      <w:tab/>
      <w:t xml:space="preserve">          </w:t>
    </w:r>
    <w:r w:rsidRPr="0099087C">
      <w:rPr>
        <w:sz w:val="16"/>
        <w:szCs w:val="16"/>
      </w:rPr>
      <w:t>Introduction to External Debt Management - Course Information Sheet</w:t>
    </w:r>
    <w:r w:rsidRPr="0099087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31" w:rsidRDefault="00931A31" w:rsidP="00636355">
      <w:pPr>
        <w:spacing w:after="0" w:line="240" w:lineRule="auto"/>
      </w:pPr>
      <w:r>
        <w:separator/>
      </w:r>
    </w:p>
  </w:footnote>
  <w:footnote w:type="continuationSeparator" w:id="0">
    <w:p w:rsidR="00931A31" w:rsidRDefault="00931A31" w:rsidP="0063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BC" w:rsidRDefault="005314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-25096</wp:posOffset>
          </wp:positionV>
          <wp:extent cx="2637633" cy="552090"/>
          <wp:effectExtent l="0" t="0" r="0" b="635"/>
          <wp:wrapTight wrapText="bothSides">
            <wp:wrapPolygon edited="0">
              <wp:start x="0" y="0"/>
              <wp:lineTo x="0" y="20879"/>
              <wp:lineTo x="21376" y="20879"/>
              <wp:lineTo x="21376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633" cy="55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3BC">
      <w:tab/>
    </w:r>
    <w:r w:rsidR="007303BC">
      <w:tab/>
    </w:r>
  </w:p>
  <w:p w:rsidR="00636355" w:rsidRPr="00EE664B" w:rsidRDefault="00531416" w:rsidP="00EE664B">
    <w:pPr>
      <w:pStyle w:val="Header"/>
      <w:jc w:val="right"/>
    </w:pPr>
    <w:r>
      <w:tab/>
    </w:r>
    <w:r>
      <w:tab/>
    </w:r>
    <w:r w:rsidR="00EE664B">
      <w:t xml:space="preserve">         </w:t>
    </w:r>
    <w:r w:rsidR="007303BC" w:rsidRPr="00B42276">
      <w:rPr>
        <w:rFonts w:ascii="Trebuchet MS" w:hAnsi="Trebuchet MS"/>
        <w:b/>
        <w:color w:val="002060"/>
        <w:sz w:val="28"/>
        <w:szCs w:val="28"/>
      </w:rPr>
      <w:t>Debt Management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A6E"/>
    <w:multiLevelType w:val="hybridMultilevel"/>
    <w:tmpl w:val="C5447830"/>
    <w:lvl w:ilvl="0" w:tplc="4E06B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E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EF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6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42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0E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EB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C3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030E9B"/>
    <w:multiLevelType w:val="hybridMultilevel"/>
    <w:tmpl w:val="FF6EB07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4183"/>
    <w:multiLevelType w:val="hybridMultilevel"/>
    <w:tmpl w:val="F74472AC"/>
    <w:lvl w:ilvl="0" w:tplc="3A74F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1651"/>
    <w:multiLevelType w:val="hybridMultilevel"/>
    <w:tmpl w:val="A1ACE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85A88"/>
    <w:multiLevelType w:val="hybridMultilevel"/>
    <w:tmpl w:val="C0E0E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9794B"/>
    <w:multiLevelType w:val="hybridMultilevel"/>
    <w:tmpl w:val="21F040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4D54"/>
    <w:multiLevelType w:val="hybridMultilevel"/>
    <w:tmpl w:val="C01E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634C"/>
    <w:multiLevelType w:val="hybridMultilevel"/>
    <w:tmpl w:val="3BFC9FE2"/>
    <w:lvl w:ilvl="0" w:tplc="3A74F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0"/>
      </w:rPr>
    </w:lvl>
    <w:lvl w:ilvl="1" w:tplc="914EE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0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44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6C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D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8B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C0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6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385C59"/>
    <w:multiLevelType w:val="hybridMultilevel"/>
    <w:tmpl w:val="02EC6F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2A"/>
    <w:rsid w:val="000973CB"/>
    <w:rsid w:val="00097480"/>
    <w:rsid w:val="000D2B9D"/>
    <w:rsid w:val="000D4BDE"/>
    <w:rsid w:val="000F72E8"/>
    <w:rsid w:val="00142F99"/>
    <w:rsid w:val="001A1AC6"/>
    <w:rsid w:val="001E1310"/>
    <w:rsid w:val="001E1931"/>
    <w:rsid w:val="001F061A"/>
    <w:rsid w:val="00261B69"/>
    <w:rsid w:val="00267A03"/>
    <w:rsid w:val="0029532A"/>
    <w:rsid w:val="002C11E3"/>
    <w:rsid w:val="0030718A"/>
    <w:rsid w:val="0034651A"/>
    <w:rsid w:val="003568F5"/>
    <w:rsid w:val="00446DB4"/>
    <w:rsid w:val="004530F0"/>
    <w:rsid w:val="00457DD9"/>
    <w:rsid w:val="004929EB"/>
    <w:rsid w:val="00493520"/>
    <w:rsid w:val="004D1232"/>
    <w:rsid w:val="004E6AD3"/>
    <w:rsid w:val="00526623"/>
    <w:rsid w:val="00531416"/>
    <w:rsid w:val="00563B28"/>
    <w:rsid w:val="00565349"/>
    <w:rsid w:val="005A0B3F"/>
    <w:rsid w:val="005A0C6D"/>
    <w:rsid w:val="005A543E"/>
    <w:rsid w:val="005F6775"/>
    <w:rsid w:val="00636355"/>
    <w:rsid w:val="006A7C07"/>
    <w:rsid w:val="006B232D"/>
    <w:rsid w:val="006D5329"/>
    <w:rsid w:val="007178F4"/>
    <w:rsid w:val="007303BC"/>
    <w:rsid w:val="0076281D"/>
    <w:rsid w:val="00825144"/>
    <w:rsid w:val="0087434E"/>
    <w:rsid w:val="008A0830"/>
    <w:rsid w:val="008F1CE2"/>
    <w:rsid w:val="008F1D27"/>
    <w:rsid w:val="008F5701"/>
    <w:rsid w:val="00931A31"/>
    <w:rsid w:val="00953251"/>
    <w:rsid w:val="0099087C"/>
    <w:rsid w:val="009B7366"/>
    <w:rsid w:val="009E3B46"/>
    <w:rsid w:val="00A0530E"/>
    <w:rsid w:val="00A3361F"/>
    <w:rsid w:val="00A477ED"/>
    <w:rsid w:val="00A74A56"/>
    <w:rsid w:val="00B42276"/>
    <w:rsid w:val="00B73132"/>
    <w:rsid w:val="00BA1D93"/>
    <w:rsid w:val="00C455FE"/>
    <w:rsid w:val="00C71DCF"/>
    <w:rsid w:val="00CB1065"/>
    <w:rsid w:val="00DC4ABE"/>
    <w:rsid w:val="00EE664B"/>
    <w:rsid w:val="00FB0CFC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84716C9-BF14-4098-B049-5F6B80E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55"/>
  </w:style>
  <w:style w:type="paragraph" w:styleId="Footer">
    <w:name w:val="footer"/>
    <w:basedOn w:val="Normal"/>
    <w:link w:val="FooterChar"/>
    <w:uiPriority w:val="99"/>
    <w:unhideWhenUsed/>
    <w:rsid w:val="0063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55"/>
  </w:style>
  <w:style w:type="table" w:styleId="GridTable1Light-Accent1">
    <w:name w:val="Grid Table 1 Light Accent 1"/>
    <w:basedOn w:val="TableNormal"/>
    <w:uiPriority w:val="46"/>
    <w:rsid w:val="004935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4935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7410-8ACB-49CB-B6E2-F84196BD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Secretariat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Banda, Mac</dc:creator>
  <cp:keywords/>
  <dc:description/>
  <cp:lastModifiedBy>Tholley, Isatu</cp:lastModifiedBy>
  <cp:revision>3</cp:revision>
  <cp:lastPrinted>2016-01-13T09:16:00Z</cp:lastPrinted>
  <dcterms:created xsi:type="dcterms:W3CDTF">2016-09-28T16:13:00Z</dcterms:created>
  <dcterms:modified xsi:type="dcterms:W3CDTF">2016-10-03T16:28:00Z</dcterms:modified>
</cp:coreProperties>
</file>