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5" w:rsidRDefault="00636355" w:rsidP="00FF6B07">
      <w:pPr>
        <w:jc w:val="center"/>
        <w:rPr>
          <w:rFonts w:ascii="Trebuchet MS" w:hAnsi="Trebuchet MS"/>
          <w:b/>
          <w:color w:val="002060"/>
          <w:sz w:val="20"/>
          <w:szCs w:val="20"/>
        </w:rPr>
      </w:pPr>
    </w:p>
    <w:p w:rsidR="00565349" w:rsidRPr="00B42276" w:rsidRDefault="00FF6B07" w:rsidP="00C455FE">
      <w:pPr>
        <w:spacing w:after="40"/>
        <w:jc w:val="center"/>
        <w:rPr>
          <w:rFonts w:ascii="Trebuchet MS" w:hAnsi="Trebuchet MS"/>
          <w:b/>
          <w:color w:val="002060"/>
          <w:sz w:val="26"/>
          <w:szCs w:val="26"/>
        </w:rPr>
      </w:pPr>
      <w:r w:rsidRPr="00B42276">
        <w:rPr>
          <w:rFonts w:ascii="Trebuchet MS" w:hAnsi="Trebuchet MS"/>
          <w:b/>
          <w:color w:val="002060"/>
          <w:sz w:val="26"/>
          <w:szCs w:val="26"/>
        </w:rPr>
        <w:t xml:space="preserve"> </w:t>
      </w:r>
      <w:r w:rsidR="002E5095">
        <w:rPr>
          <w:rFonts w:ascii="Trebuchet MS" w:hAnsi="Trebuchet MS"/>
          <w:b/>
          <w:color w:val="002060"/>
          <w:sz w:val="26"/>
          <w:szCs w:val="26"/>
        </w:rPr>
        <w:t>Domestic</w:t>
      </w:r>
      <w:r w:rsidRPr="00B42276">
        <w:rPr>
          <w:rFonts w:ascii="Trebuchet MS" w:hAnsi="Trebuchet MS"/>
          <w:b/>
          <w:color w:val="002060"/>
          <w:sz w:val="26"/>
          <w:szCs w:val="26"/>
        </w:rPr>
        <w:t xml:space="preserve"> Debt Management</w:t>
      </w:r>
      <w:r w:rsidR="002E5095">
        <w:rPr>
          <w:rFonts w:ascii="Trebuchet MS" w:hAnsi="Trebuchet MS"/>
          <w:b/>
          <w:color w:val="002060"/>
          <w:sz w:val="26"/>
          <w:szCs w:val="26"/>
        </w:rPr>
        <w:t xml:space="preserve"> Concept</w:t>
      </w:r>
      <w:r w:rsidR="00C5333B">
        <w:rPr>
          <w:rFonts w:ascii="Trebuchet MS" w:hAnsi="Trebuchet MS"/>
          <w:b/>
          <w:color w:val="002060"/>
          <w:sz w:val="26"/>
          <w:szCs w:val="26"/>
        </w:rPr>
        <w:t>s</w:t>
      </w:r>
    </w:p>
    <w:p w:rsidR="004929EB" w:rsidRPr="00B42276" w:rsidRDefault="00FF6B07" w:rsidP="00C455FE">
      <w:pPr>
        <w:spacing w:after="40"/>
        <w:jc w:val="center"/>
        <w:rPr>
          <w:rFonts w:ascii="Trebuchet MS" w:hAnsi="Trebuchet MS"/>
          <w:b/>
          <w:color w:val="002060"/>
          <w:sz w:val="26"/>
          <w:szCs w:val="26"/>
        </w:rPr>
      </w:pPr>
      <w:r w:rsidRPr="00B42276">
        <w:rPr>
          <w:rFonts w:ascii="Trebuchet MS" w:hAnsi="Trebuchet MS"/>
          <w:b/>
          <w:color w:val="002060"/>
          <w:sz w:val="26"/>
          <w:szCs w:val="26"/>
        </w:rPr>
        <w:t>Course Information Sheet</w:t>
      </w:r>
    </w:p>
    <w:p w:rsidR="00565349" w:rsidRPr="005F6775" w:rsidRDefault="00565349" w:rsidP="00565349">
      <w:pPr>
        <w:spacing w:after="40"/>
        <w:rPr>
          <w:rFonts w:ascii="Trebuchet MS" w:hAnsi="Trebuchet MS"/>
          <w:sz w:val="10"/>
          <w:szCs w:val="10"/>
        </w:rPr>
      </w:pPr>
    </w:p>
    <w:p w:rsidR="000962E2" w:rsidRDefault="000F72E8" w:rsidP="00565349">
      <w:pPr>
        <w:spacing w:after="40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This course</w:t>
      </w:r>
      <w:r w:rsidR="00565349" w:rsidRPr="0099087C">
        <w:rPr>
          <w:rFonts w:ascii="Trebuchet MS" w:hAnsi="Trebuchet MS"/>
          <w:sz w:val="17"/>
          <w:szCs w:val="17"/>
        </w:rPr>
        <w:t xml:space="preserve"> will</w:t>
      </w:r>
      <w:r w:rsidR="00EF235D">
        <w:rPr>
          <w:rFonts w:ascii="Trebuchet MS" w:hAnsi="Trebuchet MS"/>
          <w:sz w:val="17"/>
          <w:szCs w:val="17"/>
        </w:rPr>
        <w:t xml:space="preserve"> provide the learners with the basic knowledge and understanding needed to </w:t>
      </w:r>
      <w:r w:rsidR="00C5333B">
        <w:rPr>
          <w:rFonts w:ascii="Trebuchet MS" w:hAnsi="Trebuchet MS"/>
          <w:sz w:val="17"/>
          <w:szCs w:val="17"/>
        </w:rPr>
        <w:t>become a professional debt manager for domestic debt</w:t>
      </w:r>
      <w:r w:rsidR="00EF235D">
        <w:rPr>
          <w:rFonts w:ascii="Trebuchet MS" w:hAnsi="Trebuchet MS"/>
          <w:sz w:val="17"/>
          <w:szCs w:val="17"/>
        </w:rPr>
        <w:t>.</w:t>
      </w:r>
      <w:r w:rsidR="00565349" w:rsidRPr="0099087C">
        <w:rPr>
          <w:rFonts w:ascii="Trebuchet MS" w:hAnsi="Trebuchet MS"/>
          <w:sz w:val="17"/>
          <w:szCs w:val="17"/>
        </w:rPr>
        <w:t xml:space="preserve"> </w:t>
      </w:r>
      <w:r w:rsidR="000962E2">
        <w:rPr>
          <w:rFonts w:ascii="Trebuchet MS" w:hAnsi="Trebuchet MS"/>
          <w:sz w:val="17"/>
          <w:szCs w:val="17"/>
        </w:rPr>
        <w:t xml:space="preserve"> </w:t>
      </w:r>
      <w:r w:rsidR="00565349" w:rsidRPr="0099087C">
        <w:rPr>
          <w:rFonts w:ascii="Trebuchet MS" w:hAnsi="Trebuchet MS"/>
          <w:sz w:val="17"/>
          <w:szCs w:val="17"/>
        </w:rPr>
        <w:t xml:space="preserve">In addition, </w:t>
      </w:r>
      <w:r w:rsidR="002E5095">
        <w:rPr>
          <w:rFonts w:ascii="Trebuchet MS" w:hAnsi="Trebuchet MS"/>
          <w:sz w:val="17"/>
          <w:szCs w:val="17"/>
        </w:rPr>
        <w:t xml:space="preserve">this course will help </w:t>
      </w:r>
      <w:r w:rsidR="00565349" w:rsidRPr="0099087C">
        <w:rPr>
          <w:rFonts w:ascii="Trebuchet MS" w:hAnsi="Trebuchet MS"/>
          <w:sz w:val="17"/>
          <w:szCs w:val="17"/>
        </w:rPr>
        <w:t xml:space="preserve">learners </w:t>
      </w:r>
      <w:r w:rsidR="002E5095">
        <w:rPr>
          <w:rFonts w:ascii="Trebuchet MS" w:hAnsi="Trebuchet MS"/>
          <w:sz w:val="17"/>
          <w:szCs w:val="17"/>
        </w:rPr>
        <w:t xml:space="preserve">to gain basic knowledge </w:t>
      </w:r>
      <w:r w:rsidR="00607A9A">
        <w:rPr>
          <w:rFonts w:ascii="Trebuchet MS" w:hAnsi="Trebuchet MS"/>
          <w:sz w:val="17"/>
          <w:szCs w:val="17"/>
        </w:rPr>
        <w:t xml:space="preserve">and understanding </w:t>
      </w:r>
      <w:r w:rsidR="002E5095">
        <w:rPr>
          <w:rFonts w:ascii="Trebuchet MS" w:hAnsi="Trebuchet MS"/>
          <w:sz w:val="17"/>
          <w:szCs w:val="17"/>
        </w:rPr>
        <w:t xml:space="preserve">of domestic debt </w:t>
      </w:r>
      <w:r w:rsidR="00891DDD">
        <w:rPr>
          <w:rFonts w:ascii="Trebuchet MS" w:hAnsi="Trebuchet MS"/>
          <w:sz w:val="17"/>
          <w:szCs w:val="17"/>
        </w:rPr>
        <w:t xml:space="preserve">management required for an </w:t>
      </w:r>
      <w:r w:rsidR="00565349" w:rsidRPr="0099087C">
        <w:rPr>
          <w:rFonts w:ascii="Trebuchet MS" w:hAnsi="Trebuchet MS"/>
          <w:sz w:val="17"/>
          <w:szCs w:val="17"/>
        </w:rPr>
        <w:t xml:space="preserve">effectively use the CS-DRMS software. </w:t>
      </w:r>
      <w:r w:rsidR="00940511" w:rsidRPr="0099087C">
        <w:rPr>
          <w:rFonts w:ascii="Trebuchet MS" w:hAnsi="Trebuchet MS"/>
          <w:sz w:val="17"/>
          <w:szCs w:val="17"/>
        </w:rPr>
        <w:t>Learners need to have this debt management knowledge base in order to work in a debt management office</w:t>
      </w:r>
      <w:r w:rsidR="00940511">
        <w:rPr>
          <w:rFonts w:ascii="Trebuchet MS" w:hAnsi="Trebuchet MS"/>
          <w:sz w:val="17"/>
          <w:szCs w:val="17"/>
        </w:rPr>
        <w:t>.</w:t>
      </w:r>
    </w:p>
    <w:p w:rsidR="00565349" w:rsidRPr="0099087C" w:rsidRDefault="002E5095" w:rsidP="00565349">
      <w:pPr>
        <w:spacing w:after="40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Leaners will be supported by a tutor, who will provide feedback </w:t>
      </w:r>
      <w:r w:rsidR="00607A9A" w:rsidRPr="00607A9A">
        <w:rPr>
          <w:rFonts w:ascii="Trebuchet MS" w:hAnsi="Trebuchet MS"/>
          <w:sz w:val="17"/>
          <w:szCs w:val="17"/>
        </w:rPr>
        <w:t>(electronically)</w:t>
      </w:r>
      <w:r w:rsidR="00607A9A">
        <w:rPr>
          <w:rFonts w:ascii="Trebuchet MS" w:hAnsi="Trebuchet MS"/>
          <w:sz w:val="17"/>
          <w:szCs w:val="17"/>
        </w:rPr>
        <w:t xml:space="preserve"> on the progress</w:t>
      </w:r>
      <w:r>
        <w:rPr>
          <w:rFonts w:ascii="Trebuchet MS" w:hAnsi="Trebuchet MS"/>
          <w:sz w:val="17"/>
          <w:szCs w:val="17"/>
        </w:rPr>
        <w:t xml:space="preserve">, reply to the queries </w:t>
      </w:r>
      <w:r w:rsidR="00607A9A">
        <w:rPr>
          <w:rFonts w:ascii="Trebuchet MS" w:hAnsi="Trebuchet MS"/>
          <w:sz w:val="17"/>
          <w:szCs w:val="17"/>
        </w:rPr>
        <w:t>and suggest other learning activities to help develop the knowledge and understanding required to successfully complete this course.</w:t>
      </w:r>
      <w:r>
        <w:rPr>
          <w:rFonts w:ascii="Trebuchet MS" w:hAnsi="Trebuchet MS"/>
          <w:sz w:val="17"/>
          <w:szCs w:val="17"/>
        </w:rPr>
        <w:t xml:space="preserve">  </w:t>
      </w:r>
      <w:r w:rsidR="00457DD9">
        <w:rPr>
          <w:rFonts w:ascii="Trebuchet MS" w:hAnsi="Trebuchet MS"/>
          <w:sz w:val="17"/>
          <w:szCs w:val="17"/>
        </w:rPr>
        <w:t>The course will be run</w:t>
      </w:r>
      <w:r w:rsidR="007908A3">
        <w:rPr>
          <w:rFonts w:ascii="Trebuchet MS" w:hAnsi="Trebuchet MS"/>
          <w:sz w:val="17"/>
          <w:szCs w:val="17"/>
        </w:rPr>
        <w:t>ning</w:t>
      </w:r>
      <w:r w:rsidR="00457DD9">
        <w:rPr>
          <w:rFonts w:ascii="Trebuchet MS" w:hAnsi="Trebuchet MS"/>
          <w:sz w:val="17"/>
          <w:szCs w:val="17"/>
        </w:rPr>
        <w:t xml:space="preserve"> </w:t>
      </w:r>
      <w:r w:rsidR="000D2B9D">
        <w:rPr>
          <w:rFonts w:ascii="Trebuchet MS" w:hAnsi="Trebuchet MS"/>
          <w:sz w:val="17"/>
          <w:szCs w:val="17"/>
        </w:rPr>
        <w:t xml:space="preserve">over a </w:t>
      </w:r>
      <w:r w:rsidR="007908A3">
        <w:rPr>
          <w:rFonts w:ascii="Trebuchet MS" w:hAnsi="Trebuchet MS"/>
          <w:sz w:val="17"/>
          <w:szCs w:val="17"/>
        </w:rPr>
        <w:t>six-week</w:t>
      </w:r>
      <w:r w:rsidR="000D2B9D">
        <w:rPr>
          <w:rFonts w:ascii="Trebuchet MS" w:hAnsi="Trebuchet MS"/>
          <w:sz w:val="17"/>
          <w:szCs w:val="17"/>
        </w:rPr>
        <w:t xml:space="preserve"> period</w:t>
      </w:r>
      <w:r w:rsidR="00457DD9">
        <w:rPr>
          <w:rFonts w:ascii="Trebuchet MS" w:hAnsi="Trebuchet MS"/>
          <w:sz w:val="17"/>
          <w:szCs w:val="17"/>
        </w:rPr>
        <w:t>.</w:t>
      </w:r>
    </w:p>
    <w:p w:rsidR="0099087C" w:rsidRPr="00EE664B" w:rsidRDefault="0099087C" w:rsidP="00565349">
      <w:pPr>
        <w:spacing w:after="40"/>
        <w:jc w:val="both"/>
        <w:rPr>
          <w:rFonts w:ascii="Trebuchet MS" w:hAnsi="Trebuchet MS"/>
          <w:sz w:val="16"/>
          <w:szCs w:val="16"/>
        </w:rPr>
      </w:pPr>
    </w:p>
    <w:tbl>
      <w:tblPr>
        <w:tblStyle w:val="PlainTable1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93520" w:rsidTr="00457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BFBFBF" w:themeColor="background1" w:themeShade="BF"/>
            </w:tcBorders>
          </w:tcPr>
          <w:p w:rsidR="00EE664B" w:rsidRPr="00563B28" w:rsidRDefault="00EE664B" w:rsidP="00493520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493520" w:rsidRPr="000973CB" w:rsidRDefault="00493520" w:rsidP="00493520">
            <w:pPr>
              <w:rPr>
                <w:rFonts w:ascii="Trebuchet MS" w:hAnsi="Trebuchet MS"/>
                <w:color w:val="002060"/>
                <w:sz w:val="21"/>
                <w:szCs w:val="21"/>
              </w:rPr>
            </w:pPr>
            <w:r w:rsidRPr="000973CB">
              <w:rPr>
                <w:rFonts w:ascii="Trebuchet MS" w:hAnsi="Trebuchet MS"/>
                <w:color w:val="002060"/>
                <w:sz w:val="21"/>
                <w:szCs w:val="21"/>
              </w:rPr>
              <w:t>Prerequisite</w:t>
            </w:r>
          </w:p>
          <w:p w:rsidR="00493520" w:rsidRPr="008F1D27" w:rsidRDefault="00493520" w:rsidP="00493520">
            <w:pPr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493520" w:rsidRPr="00825144" w:rsidRDefault="00493520">
            <w:pPr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No pre-course materials </w:t>
            </w:r>
            <w:r w:rsidR="00457DD9">
              <w:rPr>
                <w:rFonts w:ascii="Trebuchet MS" w:hAnsi="Trebuchet MS"/>
                <w:b w:val="0"/>
                <w:sz w:val="17"/>
                <w:szCs w:val="17"/>
              </w:rPr>
              <w:t>or knowledge is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required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. Learners are however expected to be working in a Debt Management Office or plan to work in a Debt Management Office.</w:t>
            </w:r>
          </w:p>
          <w:p w:rsidR="00FB0CFC" w:rsidRPr="00493520" w:rsidRDefault="00FB0CFC">
            <w:pPr>
              <w:rPr>
                <w:rFonts w:ascii="Trebuchet MS" w:hAnsi="Trebuchet MS"/>
                <w:b w:val="0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EE664B" w:rsidRPr="000962E2" w:rsidRDefault="00EE664B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FB0CFC" w:rsidRPr="000962E2" w:rsidRDefault="00FB0CFC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1"/>
                <w:szCs w:val="21"/>
              </w:rPr>
            </w:pPr>
            <w:r w:rsidRPr="000962E2">
              <w:rPr>
                <w:rFonts w:ascii="Trebuchet MS" w:hAnsi="Trebuchet MS"/>
                <w:color w:val="002060"/>
                <w:sz w:val="21"/>
                <w:szCs w:val="21"/>
              </w:rPr>
              <w:t>Learning Outcomes</w:t>
            </w:r>
          </w:p>
          <w:p w:rsidR="004D1232" w:rsidRPr="000962E2" w:rsidRDefault="004D1232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FB0CFC" w:rsidRPr="000962E2" w:rsidRDefault="00FB0CFC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On completion of the </w:t>
            </w:r>
            <w:r w:rsidR="001E1931" w:rsidRPr="000962E2">
              <w:rPr>
                <w:rFonts w:ascii="Trebuchet MS" w:hAnsi="Trebuchet MS"/>
                <w:b w:val="0"/>
                <w:sz w:val="17"/>
                <w:szCs w:val="17"/>
              </w:rPr>
              <w:t>course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>, learners will be able to:</w:t>
            </w:r>
          </w:p>
          <w:p w:rsidR="004D1232" w:rsidRPr="000962E2" w:rsidRDefault="004D1232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825144" w:rsidRPr="000962E2" w:rsidRDefault="00FB0CFC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>demonstrate their understanding of the definition</w:t>
            </w:r>
            <w:r w:rsidR="00626AFC">
              <w:rPr>
                <w:rFonts w:ascii="Trebuchet MS" w:hAnsi="Trebuchet MS"/>
                <w:b w:val="0"/>
                <w:sz w:val="17"/>
                <w:szCs w:val="17"/>
              </w:rPr>
              <w:t>,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 purpose </w:t>
            </w:r>
            <w:r w:rsidR="00626AFC">
              <w:rPr>
                <w:rFonts w:ascii="Trebuchet MS" w:hAnsi="Trebuchet MS"/>
                <w:b w:val="0"/>
                <w:sz w:val="17"/>
                <w:szCs w:val="17"/>
              </w:rPr>
              <w:t xml:space="preserve">and different ways 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of </w:t>
            </w:r>
            <w:r w:rsidR="00626AFC">
              <w:rPr>
                <w:rFonts w:ascii="Trebuchet MS" w:hAnsi="Trebuchet MS"/>
                <w:b w:val="0"/>
                <w:sz w:val="17"/>
                <w:szCs w:val="17"/>
              </w:rPr>
              <w:t xml:space="preserve">issuance of </w:t>
            </w:r>
            <w:r w:rsidR="00607A9A" w:rsidRPr="000962E2">
              <w:rPr>
                <w:rFonts w:ascii="Trebuchet MS" w:hAnsi="Trebuchet MS"/>
                <w:b w:val="0"/>
                <w:sz w:val="17"/>
                <w:szCs w:val="17"/>
              </w:rPr>
              <w:t>domestic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 debt </w:t>
            </w:r>
            <w:r w:rsidR="00626AFC">
              <w:rPr>
                <w:rFonts w:ascii="Trebuchet MS" w:hAnsi="Trebuchet MS"/>
                <w:b w:val="0"/>
                <w:sz w:val="17"/>
                <w:szCs w:val="17"/>
              </w:rPr>
              <w:t>instruments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</w:p>
          <w:p w:rsidR="00825144" w:rsidRPr="000962E2" w:rsidRDefault="00825144" w:rsidP="0082514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825144" w:rsidRPr="000962E2" w:rsidRDefault="00891DDD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value standard debt instruments 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issued 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by sovereigns in 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the </w:t>
            </w: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>domestic bond market</w:t>
            </w:r>
            <w:r w:rsidR="00FB0CFC" w:rsidRPr="000962E2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</w:p>
          <w:p w:rsidR="00825144" w:rsidRPr="000962E2" w:rsidRDefault="00825144" w:rsidP="0082514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2C11E3" w:rsidRPr="000962E2" w:rsidRDefault="00F615E1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>
              <w:rPr>
                <w:rFonts w:ascii="Trebuchet MS" w:hAnsi="Trebuchet MS"/>
                <w:b w:val="0"/>
                <w:sz w:val="17"/>
                <w:szCs w:val="17"/>
              </w:rPr>
              <w:t>u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>nderstand</w:t>
            </w:r>
            <w:r>
              <w:rPr>
                <w:rFonts w:ascii="Trebuchet MS" w:hAnsi="Trebuchet MS"/>
                <w:b w:val="0"/>
                <w:sz w:val="17"/>
                <w:szCs w:val="17"/>
              </w:rPr>
              <w:t xml:space="preserve"> how 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to </w:t>
            </w:r>
            <w:r w:rsidR="004B47AB"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promote 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a liquid </w:t>
            </w:r>
            <w:r w:rsidR="004B47AB" w:rsidRPr="000962E2">
              <w:rPr>
                <w:rFonts w:ascii="Trebuchet MS" w:hAnsi="Trebuchet MS"/>
                <w:b w:val="0"/>
                <w:sz w:val="17"/>
                <w:szCs w:val="17"/>
              </w:rPr>
              <w:t>domestic debt market</w:t>
            </w:r>
            <w:r w:rsidR="002C11E3" w:rsidRPr="000962E2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</w:p>
          <w:p w:rsidR="002C11E3" w:rsidRPr="000962E2" w:rsidRDefault="002C11E3" w:rsidP="006B232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7"/>
                <w:szCs w:val="17"/>
              </w:rPr>
            </w:pPr>
          </w:p>
          <w:p w:rsidR="00825144" w:rsidRPr="000962E2" w:rsidRDefault="000962E2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calculate and use various </w:t>
            </w:r>
            <w:r w:rsidRPr="000962E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key performance indicators for the domestic debt portfolio</w:t>
            </w:r>
            <w:r w:rsidR="002C11E3" w:rsidRPr="000962E2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</w:p>
          <w:p w:rsidR="00825144" w:rsidRPr="000962E2" w:rsidRDefault="00825144" w:rsidP="0082514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2C11E3" w:rsidRPr="000962E2" w:rsidRDefault="00F615E1" w:rsidP="00F615E1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 w:val="0"/>
                <w:sz w:val="17"/>
                <w:szCs w:val="17"/>
              </w:rPr>
              <w:t xml:space="preserve">appreciate role of 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 xml:space="preserve">regulatory and tax environments </w:t>
            </w:r>
            <w:r>
              <w:rPr>
                <w:rFonts w:ascii="Trebuchet MS" w:hAnsi="Trebuchet MS"/>
                <w:b w:val="0"/>
                <w:sz w:val="17"/>
                <w:szCs w:val="17"/>
              </w:rPr>
              <w:t xml:space="preserve">in efficient </w:t>
            </w:r>
            <w:r w:rsidR="000962E2" w:rsidRPr="000962E2">
              <w:rPr>
                <w:rFonts w:ascii="Trebuchet MS" w:hAnsi="Trebuchet MS"/>
                <w:b w:val="0"/>
                <w:sz w:val="17"/>
                <w:szCs w:val="17"/>
              </w:rPr>
              <w:t>functioning of the domestic debt market</w:t>
            </w:r>
            <w:r w:rsidR="00FB0CFC" w:rsidRPr="000962E2">
              <w:rPr>
                <w:rFonts w:ascii="Trebuchet MS" w:hAnsi="Trebuchet MS"/>
                <w:b w:val="0"/>
                <w:sz w:val="17"/>
                <w:szCs w:val="17"/>
              </w:rPr>
              <w:t>.</w:t>
            </w:r>
          </w:p>
        </w:tc>
      </w:tr>
      <w:tr w:rsidR="00493520" w:rsidTr="0045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EE664B" w:rsidRPr="00563B28" w:rsidRDefault="00EE664B" w:rsidP="00493520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493520" w:rsidRPr="000973CB" w:rsidRDefault="00457DD9" w:rsidP="00493520">
            <w:pPr>
              <w:rPr>
                <w:rFonts w:ascii="Trebuchet MS" w:hAnsi="Trebuchet MS"/>
                <w:color w:val="002060"/>
                <w:sz w:val="21"/>
                <w:szCs w:val="21"/>
              </w:rPr>
            </w:pPr>
            <w:r>
              <w:rPr>
                <w:rFonts w:ascii="Trebuchet MS" w:hAnsi="Trebuchet MS"/>
                <w:color w:val="002060"/>
                <w:sz w:val="21"/>
                <w:szCs w:val="21"/>
              </w:rPr>
              <w:t>Supplementary</w:t>
            </w:r>
            <w:r w:rsidR="00493520" w:rsidRPr="000973CB">
              <w:rPr>
                <w:rFonts w:ascii="Trebuchet MS" w:hAnsi="Trebuchet MS"/>
                <w:color w:val="002060"/>
                <w:sz w:val="21"/>
                <w:szCs w:val="21"/>
              </w:rPr>
              <w:t xml:space="preserve"> Reading </w:t>
            </w:r>
            <w:bookmarkStart w:id="0" w:name="_GoBack"/>
            <w:bookmarkEnd w:id="0"/>
          </w:p>
          <w:p w:rsidR="00493520" w:rsidRPr="008F1D27" w:rsidRDefault="00493520" w:rsidP="00493520">
            <w:pPr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493520" w:rsidRPr="00825144" w:rsidRDefault="00493520" w:rsidP="00DA1F18">
            <w:pPr>
              <w:rPr>
                <w:rFonts w:ascii="Trebuchet MS" w:hAnsi="Trebuchet MS"/>
                <w:b w:val="0"/>
                <w:bCs w:val="0"/>
                <w:color w:val="0070C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Users are encouraged to </w:t>
            </w:r>
            <w:r w:rsidR="00DA1F18">
              <w:rPr>
                <w:rFonts w:ascii="Trebuchet MS" w:hAnsi="Trebuchet MS"/>
                <w:b w:val="0"/>
                <w:sz w:val="17"/>
                <w:szCs w:val="17"/>
              </w:rPr>
              <w:t xml:space="preserve">go through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the </w:t>
            </w:r>
            <w:r w:rsidR="00DA1F18" w:rsidRPr="00DA1F18">
              <w:rPr>
                <w:rFonts w:ascii="Trebuchet MS" w:hAnsi="Trebuchet MS"/>
                <w:b w:val="0"/>
                <w:color w:val="0070C0"/>
                <w:sz w:val="17"/>
                <w:szCs w:val="17"/>
              </w:rPr>
              <w:t>Revised Guidelines for Public Debt Management</w:t>
            </w:r>
            <w:r w:rsidR="00DA1F18" w:rsidRPr="00DA1F18">
              <w:rPr>
                <w:rFonts w:ascii="Trebuchet MS" w:hAnsi="Trebuchet MS"/>
                <w:b w:val="0"/>
                <w:color w:val="0070C0"/>
                <w:sz w:val="17"/>
                <w:szCs w:val="17"/>
              </w:rPr>
              <w:t xml:space="preserve"> (IMF, 2014)</w:t>
            </w:r>
            <w:r w:rsidRPr="00DA1F18">
              <w:rPr>
                <w:rFonts w:ascii="Trebuchet MS" w:hAnsi="Trebuchet MS"/>
                <w:b w:val="0"/>
                <w:color w:val="0070C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as well as the </w:t>
            </w:r>
            <w:r w:rsidRPr="00DA1F18">
              <w:rPr>
                <w:rFonts w:ascii="Trebuchet MS" w:hAnsi="Trebuchet MS"/>
                <w:b w:val="0"/>
                <w:bCs w:val="0"/>
                <w:color w:val="0070C0"/>
                <w:sz w:val="17"/>
                <w:szCs w:val="17"/>
              </w:rPr>
              <w:t>IMF - Public Sector Debt Guide (2013)</w:t>
            </w:r>
            <w:r w:rsidRPr="00825144">
              <w:rPr>
                <w:rFonts w:ascii="Trebuchet MS" w:hAnsi="Trebuchet MS"/>
                <w:b w:val="0"/>
                <w:bCs w:val="0"/>
                <w:color w:val="0070C0"/>
                <w:sz w:val="17"/>
                <w:szCs w:val="17"/>
              </w:rPr>
              <w:t>.</w:t>
            </w:r>
          </w:p>
          <w:p w:rsidR="00FB0CFC" w:rsidRDefault="00FB0CFC" w:rsidP="0049352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vMerge/>
          </w:tcPr>
          <w:p w:rsidR="00493520" w:rsidRDefault="00493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493520" w:rsidTr="00457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BFBFBF" w:themeColor="background1" w:themeShade="BF"/>
            </w:tcBorders>
          </w:tcPr>
          <w:p w:rsidR="00EE664B" w:rsidRPr="00563B28" w:rsidRDefault="00EE664B" w:rsidP="00FB0CFC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FB0CFC" w:rsidRPr="000973CB" w:rsidRDefault="00FB0CFC" w:rsidP="00FB0CFC">
            <w:pPr>
              <w:rPr>
                <w:rFonts w:ascii="Trebuchet MS" w:hAnsi="Trebuchet MS"/>
                <w:color w:val="002060"/>
                <w:sz w:val="21"/>
                <w:szCs w:val="21"/>
              </w:rPr>
            </w:pPr>
            <w:r w:rsidRPr="000973CB">
              <w:rPr>
                <w:rFonts w:ascii="Trebuchet MS" w:hAnsi="Trebuchet MS"/>
                <w:color w:val="002060"/>
                <w:sz w:val="21"/>
                <w:szCs w:val="21"/>
              </w:rPr>
              <w:t>Assessment</w:t>
            </w:r>
          </w:p>
          <w:p w:rsidR="00FB0CFC" w:rsidRPr="008F1D27" w:rsidRDefault="00FB0CFC" w:rsidP="00FB0CFC">
            <w:pPr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FB0CFC" w:rsidRPr="00825144" w:rsidRDefault="00FB0CFC" w:rsidP="00FB0CFC">
            <w:pPr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This course is </w:t>
            </w:r>
            <w:r w:rsidR="000F72E8">
              <w:rPr>
                <w:rFonts w:ascii="Trebuchet MS" w:hAnsi="Trebuchet MS"/>
                <w:b w:val="0"/>
                <w:sz w:val="17"/>
                <w:szCs w:val="17"/>
              </w:rPr>
              <w:t>concluded with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a final assessment comprising a number of multiple choice question</w:t>
            </w:r>
            <w:r w:rsidR="000F72E8">
              <w:rPr>
                <w:rFonts w:ascii="Trebuchet MS" w:hAnsi="Trebuchet MS"/>
                <w:b w:val="0"/>
                <w:sz w:val="17"/>
                <w:szCs w:val="17"/>
              </w:rPr>
              <w:t>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. The assessment should take about 1 ½ hours to complete. In addition, 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 xml:space="preserve">small 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>assessment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s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 xml:space="preserve"> are 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 xml:space="preserve">included </w:t>
            </w:r>
            <w:r w:rsidR="00607A9A">
              <w:rPr>
                <w:rFonts w:ascii="Trebuchet MS" w:hAnsi="Trebuchet MS"/>
                <w:b w:val="0"/>
                <w:sz w:val="17"/>
                <w:szCs w:val="17"/>
              </w:rPr>
              <w:t xml:space="preserve">at the end of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each lesson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>.</w:t>
            </w:r>
          </w:p>
          <w:p w:rsidR="00493520" w:rsidRDefault="0049352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vMerge/>
            <w:tcBorders>
              <w:bottom w:val="single" w:sz="4" w:space="0" w:color="BFBFBF" w:themeColor="background1" w:themeShade="BF"/>
            </w:tcBorders>
          </w:tcPr>
          <w:p w:rsidR="00493520" w:rsidRDefault="0049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493520" w:rsidRPr="006C6289" w:rsidTr="0045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auto"/>
          </w:tcPr>
          <w:p w:rsidR="005A0B3F" w:rsidRPr="00675782" w:rsidRDefault="005A0B3F" w:rsidP="00EE664B">
            <w:pPr>
              <w:rPr>
                <w:rFonts w:ascii="Trebuchet MS" w:hAnsi="Trebuchet MS"/>
                <w:color w:val="002060"/>
                <w:sz w:val="17"/>
                <w:szCs w:val="17"/>
              </w:rPr>
            </w:pPr>
          </w:p>
          <w:p w:rsidR="00EE664B" w:rsidRPr="00675782" w:rsidRDefault="00EE664B" w:rsidP="00EE664B">
            <w:pPr>
              <w:rPr>
                <w:rFonts w:ascii="Trebuchet MS" w:hAnsi="Trebuchet MS"/>
                <w:b w:val="0"/>
                <w:bCs w:val="0"/>
                <w:color w:val="002060"/>
                <w:sz w:val="18"/>
                <w:szCs w:val="18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Course Syllabus</w:t>
            </w:r>
          </w:p>
          <w:p w:rsidR="00EE664B" w:rsidRPr="00675782" w:rsidRDefault="00EE664B" w:rsidP="00EE664B">
            <w:pPr>
              <w:rPr>
                <w:rFonts w:ascii="Trebuchet MS" w:hAnsi="Trebuchet MS"/>
                <w:sz w:val="17"/>
                <w:szCs w:val="17"/>
              </w:rPr>
            </w:pPr>
          </w:p>
          <w:p w:rsidR="00EE664B" w:rsidRPr="00675782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The course is divided into </w:t>
            </w:r>
            <w:r w:rsidR="00940511">
              <w:rPr>
                <w:rFonts w:ascii="Trebuchet MS" w:hAnsi="Trebuchet MS"/>
                <w:b w:val="0"/>
                <w:sz w:val="17"/>
                <w:szCs w:val="17"/>
              </w:rPr>
              <w:t>six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="001E1931" w:rsidRPr="00675782">
              <w:rPr>
                <w:rFonts w:ascii="Trebuchet MS" w:hAnsi="Trebuchet MS"/>
                <w:b w:val="0"/>
                <w:sz w:val="17"/>
                <w:szCs w:val="17"/>
              </w:rPr>
              <w:t>modules.</w:t>
            </w:r>
          </w:p>
          <w:p w:rsidR="00EE664B" w:rsidRPr="00675782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DC4ABE" w:rsidRPr="00675782" w:rsidRDefault="0030718A" w:rsidP="006C6289">
            <w:pPr>
              <w:rPr>
                <w:rFonts w:ascii="Trebuchet MS" w:hAnsi="Trebuchet MS"/>
                <w:bCs w:val="0"/>
                <w:color w:val="002060"/>
                <w:sz w:val="17"/>
                <w:szCs w:val="17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DC4ABE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1: </w:t>
            </w:r>
            <w:hyperlink r:id="rId8" w:history="1">
              <w:r w:rsidR="00247E35" w:rsidRPr="00675782">
                <w:rPr>
                  <w:rStyle w:val="Hyperlink"/>
                  <w:rFonts w:ascii="Trebuchet MS" w:hAnsi="Trebuchet MS"/>
                  <w:color w:val="002060"/>
                  <w:sz w:val="18"/>
                  <w:szCs w:val="18"/>
                  <w:u w:val="none"/>
                  <w:lang w:val="en"/>
                </w:rPr>
                <w:t>Introduction to domestic debt</w:t>
              </w:r>
            </w:hyperlink>
            <w:r w:rsidR="00247E35" w:rsidRPr="00675782">
              <w:rPr>
                <w:rStyle w:val="column"/>
                <w:rFonts w:ascii="Trebuchet MS" w:hAnsi="Trebuchet MS"/>
                <w:sz w:val="18"/>
                <w:szCs w:val="18"/>
                <w:lang w:val="en"/>
              </w:rPr>
              <w:t xml:space="preserve"> </w:t>
            </w:r>
          </w:p>
          <w:p w:rsidR="00DC4ABE" w:rsidRPr="00675782" w:rsidRDefault="00C5109F" w:rsidP="00C5109F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This module deals with different types of Government borrowing instruments and various ways </w:t>
            </w:r>
            <w:r w:rsidR="00C422B7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to issue </w:t>
            </w:r>
            <w:r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them in the domestic market. It also describes the context in which domestic debt markets operate</w:t>
            </w:r>
            <w:r w:rsidR="00940511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;</w:t>
            </w:r>
            <w:r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for </w:t>
            </w:r>
            <w:r w:rsidR="00940511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instance,</w:t>
            </w:r>
            <w:r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the interplay with the central bank, on-lending and government guarantees.</w:t>
            </w:r>
          </w:p>
          <w:p w:rsidR="00DC4ABE" w:rsidRPr="00675782" w:rsidRDefault="00DC4ABE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7"/>
                <w:szCs w:val="17"/>
              </w:rPr>
            </w:pPr>
          </w:p>
          <w:p w:rsidR="006C6289" w:rsidRPr="00675782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</w:t>
            </w:r>
            <w:r w:rsidR="00DC4ABE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2</w:t>
            </w:r>
            <w:r w:rsidR="00EE664B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: </w:t>
            </w:r>
            <w:r w:rsidR="00C422B7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Basic Bond mathematics</w:t>
            </w:r>
          </w:p>
          <w:p w:rsidR="00EE664B" w:rsidRPr="00675782" w:rsidRDefault="00C422B7" w:rsidP="00EE664B">
            <w:pPr>
              <w:jc w:val="both"/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</w:pP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This module provides methodology for pricing of </w:t>
            </w:r>
            <w:r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the main types of domestic debt instruments</w:t>
            </w:r>
            <w:r w:rsidR="00283D1B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. It also </w:t>
            </w:r>
            <w:r w:rsidR="00940511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deals with</w:t>
            </w:r>
            <w:r w:rsidR="00283D1B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the concepts yield curve as well as the methods to derive them. </w:t>
            </w:r>
          </w:p>
          <w:p w:rsidR="00283D1B" w:rsidRPr="00675782" w:rsidRDefault="00283D1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6C6289" w:rsidRPr="00675782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3: </w:t>
            </w:r>
            <w:r w:rsidR="00283D1B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Market Development</w:t>
            </w:r>
          </w:p>
          <w:p w:rsidR="00EE664B" w:rsidRPr="00675782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This </w:t>
            </w:r>
            <w:r w:rsidR="009E3B46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module </w:t>
            </w:r>
            <w:r w:rsidR="00283D1B" w:rsidRPr="00675782">
              <w:rPr>
                <w:rFonts w:ascii="Trebuchet MS" w:hAnsi="Trebuchet MS"/>
                <w:b w:val="0"/>
                <w:sz w:val="17"/>
                <w:szCs w:val="17"/>
              </w:rPr>
              <w:t>introduces the key features of an efficient bond market</w:t>
            </w:r>
            <w:r w:rsidR="00FE610C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and</w:t>
            </w:r>
            <w:r w:rsidR="00F615E1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deals with methods to promote </w:t>
            </w:r>
            <w:r w:rsidR="00283D1B" w:rsidRPr="00675782">
              <w:rPr>
                <w:rFonts w:ascii="Trebuchet MS" w:hAnsi="Trebuchet MS"/>
                <w:b w:val="0"/>
                <w:sz w:val="17"/>
                <w:szCs w:val="17"/>
              </w:rPr>
              <w:t>a liquid bond market</w:t>
            </w:r>
            <w:r w:rsidR="00FE610C" w:rsidRPr="00675782">
              <w:rPr>
                <w:rFonts w:ascii="Trebuchet MS" w:hAnsi="Trebuchet MS"/>
                <w:b w:val="0"/>
                <w:sz w:val="17"/>
                <w:szCs w:val="17"/>
              </w:rPr>
              <w:t>. It also</w:t>
            </w:r>
            <w:r w:rsidR="00F615E1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covers </w:t>
            </w:r>
            <w:r w:rsidR="00940511">
              <w:rPr>
                <w:rFonts w:ascii="Trebuchet MS" w:hAnsi="Trebuchet MS"/>
                <w:b w:val="0"/>
                <w:sz w:val="17"/>
                <w:szCs w:val="17"/>
              </w:rPr>
              <w:t xml:space="preserve">such </w:t>
            </w:r>
            <w:r w:rsidR="00F615E1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issues as (a) auction framework design (b) primary </w:t>
            </w:r>
            <w:r w:rsidR="00FE610C" w:rsidRPr="00675782">
              <w:rPr>
                <w:rFonts w:ascii="Trebuchet MS" w:hAnsi="Trebuchet MS"/>
                <w:b w:val="0"/>
                <w:sz w:val="17"/>
                <w:szCs w:val="17"/>
              </w:rPr>
              <w:t>dealers’</w:t>
            </w:r>
            <w:r w:rsidR="00F615E1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system (</w:t>
            </w:r>
            <w:r w:rsidR="00FE610C" w:rsidRPr="00675782">
              <w:rPr>
                <w:rFonts w:ascii="Trebuchet MS" w:hAnsi="Trebuchet MS"/>
                <w:b w:val="0"/>
                <w:sz w:val="17"/>
                <w:szCs w:val="17"/>
              </w:rPr>
              <w:t>c) benchmark issuance programme, (d) investor base (e) trading and settlement architecture and (f) debt market innovations</w:t>
            </w:r>
          </w:p>
          <w:p w:rsidR="00EE664B" w:rsidRPr="00675782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EE664B" w:rsidRPr="00675782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4: </w:t>
            </w:r>
            <w:r w:rsidR="00FE610C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Risk Management</w:t>
            </w:r>
          </w:p>
          <w:p w:rsidR="005428FF" w:rsidRPr="00675782" w:rsidRDefault="00EE664B" w:rsidP="00EE664B">
            <w:pPr>
              <w:jc w:val="both"/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</w:pP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This </w:t>
            </w:r>
            <w:r w:rsidR="009E3B46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module </w:t>
            </w:r>
            <w:r w:rsidR="00FE610C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covers </w:t>
            </w:r>
            <w:r w:rsidR="00FE610C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the key risk indicators and risk based measures </w:t>
            </w:r>
            <w:r w:rsidR="00940511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for</w:t>
            </w:r>
            <w:r w:rsidR="005428FF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</w:t>
            </w:r>
            <w:r w:rsidR="00FE610C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assess</w:t>
            </w:r>
            <w:r w:rsidR="00940511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ing</w:t>
            </w:r>
            <w:r w:rsidR="00FE610C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different types of risk</w:t>
            </w:r>
            <w:r w:rsidR="005428FF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s</w:t>
            </w:r>
            <w:r w:rsidR="00FE610C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on domestic debt </w:t>
            </w:r>
            <w:r w:rsidR="005428FF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portfolio. In particular, the module deals with identification and measurement of (a) refinancing risk (b) interest rate and foreign currency risk, (c) liquidity risk and (d) operational risk.  </w:t>
            </w:r>
          </w:p>
          <w:p w:rsidR="00EE664B" w:rsidRPr="00675782" w:rsidRDefault="005428FF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 </w:t>
            </w:r>
          </w:p>
          <w:p w:rsidR="00EE664B" w:rsidRPr="00675782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5: </w:t>
            </w:r>
            <w:r w:rsidR="005428FF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Liability </w:t>
            </w:r>
            <w:r w:rsidR="00A63642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</w:t>
            </w:r>
            <w:r w:rsidR="005428FF"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anagement Operation</w:t>
            </w:r>
          </w:p>
          <w:p w:rsidR="00493520" w:rsidRPr="00675782" w:rsidRDefault="00EE664B" w:rsidP="009B7366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This </w:t>
            </w:r>
            <w:r w:rsidR="009E3B46" w:rsidRPr="00675782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focus</w:t>
            </w:r>
            <w:r w:rsidR="009E3B46" w:rsidRPr="00675782">
              <w:rPr>
                <w:rFonts w:ascii="Trebuchet MS" w:hAnsi="Trebuchet MS"/>
                <w:b w:val="0"/>
                <w:sz w:val="17"/>
                <w:szCs w:val="17"/>
              </w:rPr>
              <w:t>es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on </w:t>
            </w:r>
            <w:r w:rsidR="00A63642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different types of debt management operations </w:t>
            </w:r>
            <w:r w:rsidR="00940511">
              <w:rPr>
                <w:rFonts w:ascii="Trebuchet MS" w:hAnsi="Trebuchet MS"/>
                <w:b w:val="0"/>
                <w:sz w:val="17"/>
                <w:szCs w:val="17"/>
              </w:rPr>
              <w:t xml:space="preserve">that aim </w:t>
            </w:r>
            <w:r w:rsidR="00A63642"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to </w:t>
            </w:r>
            <w:r w:rsidR="00A63642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manage </w:t>
            </w:r>
            <w:r w:rsidR="005428FF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risk and cost of </w:t>
            </w:r>
            <w:r w:rsidR="00A63642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 xml:space="preserve">domestic </w:t>
            </w:r>
            <w:r w:rsidR="005428FF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debt portfolio</w:t>
            </w:r>
            <w:r w:rsidR="00A63642" w:rsidRPr="00675782">
              <w:rPr>
                <w:rStyle w:val="description"/>
                <w:rFonts w:ascii="Trebuchet MS" w:hAnsi="Trebuchet MS"/>
                <w:b w:val="0"/>
                <w:sz w:val="17"/>
                <w:szCs w:val="17"/>
                <w:lang w:val="en"/>
              </w:rPr>
              <w:t>.</w:t>
            </w:r>
            <w:r w:rsidR="00A63642" w:rsidRPr="00675782">
              <w:rPr>
                <w:rStyle w:val="description"/>
                <w:rFonts w:ascii="Trebuchet MS" w:hAnsi="Trebuchet MS"/>
                <w:sz w:val="17"/>
                <w:szCs w:val="17"/>
                <w:lang w:val="en"/>
              </w:rPr>
              <w:t xml:space="preserve"> 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Specifically, the </w:t>
            </w:r>
            <w:r w:rsidR="009E3B46" w:rsidRPr="00675782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="00A63642" w:rsidRPr="00675782">
              <w:rPr>
                <w:rFonts w:ascii="Trebuchet MS" w:hAnsi="Trebuchet MS"/>
                <w:b w:val="0"/>
                <w:sz w:val="17"/>
                <w:szCs w:val="17"/>
              </w:rPr>
              <w:t>covers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>: (</w:t>
            </w:r>
            <w:r w:rsidR="00A63642" w:rsidRPr="00675782">
              <w:rPr>
                <w:rFonts w:ascii="Trebuchet MS" w:hAnsi="Trebuchet MS"/>
                <w:b w:val="0"/>
                <w:sz w:val="17"/>
                <w:szCs w:val="17"/>
              </w:rPr>
              <w:t>a</w:t>
            </w: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 xml:space="preserve">) </w:t>
            </w:r>
            <w:r w:rsidR="00A63642" w:rsidRPr="00675782">
              <w:rPr>
                <w:rFonts w:ascii="Trebuchet MS" w:hAnsi="Trebuchet MS"/>
                <w:b w:val="0"/>
                <w:sz w:val="17"/>
                <w:szCs w:val="17"/>
              </w:rPr>
              <w:t>buybacks and exchanges (b) use of call option and (c) sinking fund.</w:t>
            </w:r>
          </w:p>
          <w:p w:rsidR="00A63642" w:rsidRPr="00675782" w:rsidRDefault="00A63642" w:rsidP="009B7366">
            <w:pPr>
              <w:jc w:val="both"/>
              <w:rPr>
                <w:rFonts w:ascii="Trebuchet MS" w:hAnsi="Trebuchet MS"/>
                <w:bCs w:val="0"/>
                <w:color w:val="002060"/>
                <w:sz w:val="17"/>
                <w:szCs w:val="17"/>
              </w:rPr>
            </w:pPr>
          </w:p>
          <w:p w:rsidR="00A63642" w:rsidRPr="00675782" w:rsidRDefault="00A63642" w:rsidP="009B7366">
            <w:pPr>
              <w:jc w:val="both"/>
              <w:rPr>
                <w:rFonts w:ascii="Trebuchet MS" w:hAnsi="Trebuchet MS"/>
                <w:bCs w:val="0"/>
                <w:color w:val="002060"/>
                <w:sz w:val="17"/>
                <w:szCs w:val="17"/>
              </w:rPr>
            </w:pPr>
            <w:r w:rsidRPr="00675782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Module 6: Regulations and Taxes </w:t>
            </w:r>
          </w:p>
          <w:p w:rsidR="008A0830" w:rsidRPr="00675782" w:rsidRDefault="00A63642" w:rsidP="00675782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Fonts w:ascii="Trebuchet MS" w:hAnsi="Trebuchet MS"/>
                <w:b w:val="0"/>
                <w:bCs w:val="0"/>
                <w:sz w:val="17"/>
                <w:szCs w:val="17"/>
              </w:rPr>
              <w:t xml:space="preserve">This module covers issues relating to legal framework, market regulations, market </w:t>
            </w:r>
            <w:r w:rsidR="00387CD1" w:rsidRPr="00675782">
              <w:rPr>
                <w:rFonts w:ascii="Trebuchet MS" w:hAnsi="Trebuchet MS"/>
                <w:b w:val="0"/>
                <w:bCs w:val="0"/>
                <w:sz w:val="17"/>
                <w:szCs w:val="17"/>
              </w:rPr>
              <w:t xml:space="preserve">surveillance, taxation and their role in functioning of domestic debt market. </w:t>
            </w:r>
            <w:r w:rsidRPr="00675782">
              <w:rPr>
                <w:rFonts w:ascii="Trebuchet MS" w:hAnsi="Trebuchet MS"/>
                <w:b w:val="0"/>
                <w:bCs w:val="0"/>
                <w:sz w:val="17"/>
                <w:szCs w:val="17"/>
              </w:rPr>
              <w:t xml:space="preserve">  </w:t>
            </w:r>
            <w:r w:rsidR="005360F7" w:rsidRPr="00675782">
              <w:rPr>
                <w:rFonts w:ascii="Trebuchet MS" w:hAnsi="Trebuchet MS"/>
                <w:b w:val="0"/>
                <w:sz w:val="17"/>
                <w:szCs w:val="17"/>
              </w:rPr>
              <w:tab/>
            </w:r>
          </w:p>
          <w:p w:rsidR="008A0830" w:rsidRPr="00675782" w:rsidRDefault="00675782" w:rsidP="00675782">
            <w:pPr>
              <w:tabs>
                <w:tab w:val="left" w:pos="5316"/>
              </w:tabs>
              <w:rPr>
                <w:rFonts w:ascii="Trebuchet MS" w:hAnsi="Trebuchet MS"/>
                <w:b w:val="0"/>
                <w:sz w:val="17"/>
                <w:szCs w:val="17"/>
              </w:rPr>
            </w:pPr>
            <w:r w:rsidRPr="00675782">
              <w:rPr>
                <w:rFonts w:ascii="Trebuchet MS" w:hAnsi="Trebuchet MS"/>
                <w:b w:val="0"/>
                <w:sz w:val="17"/>
                <w:szCs w:val="17"/>
              </w:rPr>
              <w:tab/>
            </w:r>
          </w:p>
        </w:tc>
      </w:tr>
    </w:tbl>
    <w:p w:rsidR="00C5333B" w:rsidRDefault="00C5333B" w:rsidP="006B232D">
      <w:pPr>
        <w:rPr>
          <w:rFonts w:ascii="Trebuchet MS" w:hAnsi="Trebuchet MS"/>
        </w:rPr>
      </w:pPr>
    </w:p>
    <w:sectPr w:rsidR="00C5333B" w:rsidSect="00825144">
      <w:headerReference w:type="default" r:id="rId9"/>
      <w:footerReference w:type="default" r:id="rId10"/>
      <w:pgSz w:w="11906" w:h="16838"/>
      <w:pgMar w:top="1418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6D" w:rsidRDefault="005A0C6D" w:rsidP="00636355">
      <w:pPr>
        <w:spacing w:after="0" w:line="240" w:lineRule="auto"/>
      </w:pPr>
      <w:r>
        <w:separator/>
      </w:r>
    </w:p>
  </w:endnote>
  <w:endnote w:type="continuationSeparator" w:id="0">
    <w:p w:rsidR="005A0C6D" w:rsidRDefault="005A0C6D" w:rsidP="006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7C" w:rsidRPr="0099087C" w:rsidRDefault="0099087C">
    <w:pPr>
      <w:pStyle w:val="Footer"/>
      <w:rPr>
        <w:sz w:val="16"/>
        <w:szCs w:val="16"/>
      </w:rPr>
    </w:pPr>
    <w:r>
      <w:rPr>
        <w:sz w:val="16"/>
        <w:szCs w:val="16"/>
      </w:rPr>
      <w:t xml:space="preserve">Debt Management Unit, The Commonwealth                                        </w:t>
    </w:r>
    <w:r w:rsidR="0087434E">
      <w:rPr>
        <w:sz w:val="16"/>
        <w:szCs w:val="16"/>
      </w:rPr>
      <w:tab/>
    </w:r>
    <w:r w:rsidR="0087434E">
      <w:rPr>
        <w:sz w:val="16"/>
        <w:szCs w:val="16"/>
      </w:rPr>
      <w:tab/>
      <w:t xml:space="preserve">          </w:t>
    </w:r>
    <w:r w:rsidR="00675782">
      <w:rPr>
        <w:sz w:val="16"/>
        <w:szCs w:val="16"/>
      </w:rPr>
      <w:t>Domestic Debt Management Concepts</w:t>
    </w:r>
    <w:r w:rsidRPr="0099087C">
      <w:rPr>
        <w:sz w:val="16"/>
        <w:szCs w:val="16"/>
      </w:rPr>
      <w:t xml:space="preserve"> - Course Information Sheet</w:t>
    </w:r>
    <w:r w:rsidRPr="0099087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6D" w:rsidRDefault="005A0C6D" w:rsidP="00636355">
      <w:pPr>
        <w:spacing w:after="0" w:line="240" w:lineRule="auto"/>
      </w:pPr>
      <w:r>
        <w:separator/>
      </w:r>
    </w:p>
  </w:footnote>
  <w:footnote w:type="continuationSeparator" w:id="0">
    <w:p w:rsidR="005A0C6D" w:rsidRDefault="005A0C6D" w:rsidP="006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BC" w:rsidRDefault="005314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-25096</wp:posOffset>
          </wp:positionV>
          <wp:extent cx="2637633" cy="552090"/>
          <wp:effectExtent l="0" t="0" r="0" b="635"/>
          <wp:wrapTight wrapText="bothSides">
            <wp:wrapPolygon edited="0">
              <wp:start x="0" y="0"/>
              <wp:lineTo x="0" y="20879"/>
              <wp:lineTo x="21376" y="20879"/>
              <wp:lineTo x="2137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633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BC">
      <w:tab/>
    </w:r>
    <w:r w:rsidR="007303BC">
      <w:tab/>
    </w:r>
  </w:p>
  <w:p w:rsidR="00636355" w:rsidRPr="00EE664B" w:rsidRDefault="00531416" w:rsidP="00EE664B">
    <w:pPr>
      <w:pStyle w:val="Header"/>
      <w:jc w:val="right"/>
    </w:pPr>
    <w:r>
      <w:tab/>
    </w:r>
    <w:r>
      <w:tab/>
    </w:r>
    <w:r w:rsidR="00EE664B">
      <w:t xml:space="preserve">         </w:t>
    </w:r>
    <w:r w:rsidR="007303BC" w:rsidRPr="00B42276">
      <w:rPr>
        <w:rFonts w:ascii="Trebuchet MS" w:hAnsi="Trebuchet MS"/>
        <w:b/>
        <w:color w:val="002060"/>
        <w:sz w:val="28"/>
        <w:szCs w:val="28"/>
      </w:rPr>
      <w:t>Debt Management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A6E"/>
    <w:multiLevelType w:val="hybridMultilevel"/>
    <w:tmpl w:val="C5447830"/>
    <w:lvl w:ilvl="0" w:tplc="4E06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E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E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6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4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0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E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C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30E9B"/>
    <w:multiLevelType w:val="hybridMultilevel"/>
    <w:tmpl w:val="FF6EB0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183"/>
    <w:multiLevelType w:val="hybridMultilevel"/>
    <w:tmpl w:val="F74472AC"/>
    <w:lvl w:ilvl="0" w:tplc="3A74F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651"/>
    <w:multiLevelType w:val="hybridMultilevel"/>
    <w:tmpl w:val="A1ACE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5A88"/>
    <w:multiLevelType w:val="hybridMultilevel"/>
    <w:tmpl w:val="C0E0E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794B"/>
    <w:multiLevelType w:val="hybridMultilevel"/>
    <w:tmpl w:val="21F040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D54"/>
    <w:multiLevelType w:val="hybridMultilevel"/>
    <w:tmpl w:val="C01E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34C"/>
    <w:multiLevelType w:val="hybridMultilevel"/>
    <w:tmpl w:val="3BFC9FE2"/>
    <w:lvl w:ilvl="0" w:tplc="3A74F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0"/>
      </w:rPr>
    </w:lvl>
    <w:lvl w:ilvl="1" w:tplc="914E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4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6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385C59"/>
    <w:multiLevelType w:val="hybridMultilevel"/>
    <w:tmpl w:val="02EC6F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A"/>
    <w:rsid w:val="000962E2"/>
    <w:rsid w:val="000973CB"/>
    <w:rsid w:val="00097480"/>
    <w:rsid w:val="000D2B9D"/>
    <w:rsid w:val="000D4BDE"/>
    <w:rsid w:val="000F72E8"/>
    <w:rsid w:val="001A1AC6"/>
    <w:rsid w:val="001E1310"/>
    <w:rsid w:val="001E1931"/>
    <w:rsid w:val="001F061A"/>
    <w:rsid w:val="00247E35"/>
    <w:rsid w:val="00261B69"/>
    <w:rsid w:val="00267A03"/>
    <w:rsid w:val="00283D1B"/>
    <w:rsid w:val="0029532A"/>
    <w:rsid w:val="002C11E3"/>
    <w:rsid w:val="002E5095"/>
    <w:rsid w:val="0030718A"/>
    <w:rsid w:val="0034651A"/>
    <w:rsid w:val="003568F5"/>
    <w:rsid w:val="00387CD1"/>
    <w:rsid w:val="00446DB4"/>
    <w:rsid w:val="004530F0"/>
    <w:rsid w:val="00457DD9"/>
    <w:rsid w:val="004929EB"/>
    <w:rsid w:val="00493520"/>
    <w:rsid w:val="004B47AB"/>
    <w:rsid w:val="004D1232"/>
    <w:rsid w:val="004E6AD3"/>
    <w:rsid w:val="00526623"/>
    <w:rsid w:val="00531416"/>
    <w:rsid w:val="005360F7"/>
    <w:rsid w:val="005428FF"/>
    <w:rsid w:val="00563B28"/>
    <w:rsid w:val="00565349"/>
    <w:rsid w:val="005A0B3F"/>
    <w:rsid w:val="005A0C6D"/>
    <w:rsid w:val="005A543E"/>
    <w:rsid w:val="005F6775"/>
    <w:rsid w:val="00607A9A"/>
    <w:rsid w:val="00626AFC"/>
    <w:rsid w:val="00636355"/>
    <w:rsid w:val="00675782"/>
    <w:rsid w:val="006A7C07"/>
    <w:rsid w:val="006B232D"/>
    <w:rsid w:val="006C6289"/>
    <w:rsid w:val="007178F4"/>
    <w:rsid w:val="007303BC"/>
    <w:rsid w:val="0076281D"/>
    <w:rsid w:val="007908A3"/>
    <w:rsid w:val="00825144"/>
    <w:rsid w:val="0087434E"/>
    <w:rsid w:val="00891DDD"/>
    <w:rsid w:val="008A0830"/>
    <w:rsid w:val="008F1CE2"/>
    <w:rsid w:val="008F1D27"/>
    <w:rsid w:val="008F5701"/>
    <w:rsid w:val="00940511"/>
    <w:rsid w:val="00953251"/>
    <w:rsid w:val="0099087C"/>
    <w:rsid w:val="009B7366"/>
    <w:rsid w:val="009E3B46"/>
    <w:rsid w:val="00A3361F"/>
    <w:rsid w:val="00A477ED"/>
    <w:rsid w:val="00A63642"/>
    <w:rsid w:val="00A74A56"/>
    <w:rsid w:val="00B42276"/>
    <w:rsid w:val="00B73132"/>
    <w:rsid w:val="00BA1D93"/>
    <w:rsid w:val="00C422B7"/>
    <w:rsid w:val="00C455FE"/>
    <w:rsid w:val="00C5109F"/>
    <w:rsid w:val="00C5333B"/>
    <w:rsid w:val="00C71DCF"/>
    <w:rsid w:val="00DA1F18"/>
    <w:rsid w:val="00DC4ABE"/>
    <w:rsid w:val="00EE664B"/>
    <w:rsid w:val="00EF235D"/>
    <w:rsid w:val="00F615E1"/>
    <w:rsid w:val="00FB0CFC"/>
    <w:rsid w:val="00FE610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7FA18C"/>
  <w15:chartTrackingRefBased/>
  <w15:docId w15:val="{884716C9-BF14-4098-B049-5F6B80E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55"/>
  </w:style>
  <w:style w:type="paragraph" w:styleId="Footer">
    <w:name w:val="footer"/>
    <w:basedOn w:val="Normal"/>
    <w:link w:val="FooterChar"/>
    <w:uiPriority w:val="99"/>
    <w:unhideWhenUsed/>
    <w:rsid w:val="0063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55"/>
  </w:style>
  <w:style w:type="table" w:styleId="GridTable1Light-Accent1">
    <w:name w:val="Grid Table 1 Light Accent 1"/>
    <w:basedOn w:val="TableNormal"/>
    <w:uiPriority w:val="46"/>
    <w:rsid w:val="004935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935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B3F"/>
    <w:rPr>
      <w:b/>
      <w:bCs/>
      <w:sz w:val="20"/>
      <w:szCs w:val="20"/>
    </w:rPr>
  </w:style>
  <w:style w:type="character" w:customStyle="1" w:styleId="description">
    <w:name w:val="description"/>
    <w:basedOn w:val="DefaultParagraphFont"/>
    <w:rsid w:val="000962E2"/>
  </w:style>
  <w:style w:type="character" w:customStyle="1" w:styleId="column">
    <w:name w:val="column"/>
    <w:basedOn w:val="DefaultParagraphFont"/>
    <w:rsid w:val="00247E35"/>
  </w:style>
  <w:style w:type="character" w:styleId="Hyperlink">
    <w:name w:val="Hyperlink"/>
    <w:basedOn w:val="DefaultParagraphFont"/>
    <w:uiPriority w:val="99"/>
    <w:semiHidden/>
    <w:unhideWhenUsed/>
    <w:rsid w:val="00247E35"/>
    <w:rPr>
      <w:color w:val="0000FF"/>
      <w:u w:val="single"/>
    </w:rPr>
  </w:style>
  <w:style w:type="character" w:customStyle="1" w:styleId="Title1">
    <w:name w:val="Title1"/>
    <w:basedOn w:val="DefaultParagraphFont"/>
    <w:rsid w:val="0024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essello.co.uk/TheCommonweal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7138-881C-40E1-9BD3-4267ABCF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Secretariat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Banda, Mac</dc:creator>
  <cp:keywords/>
  <dc:description/>
  <cp:lastModifiedBy>Kumar, Sanjay</cp:lastModifiedBy>
  <cp:revision>4</cp:revision>
  <cp:lastPrinted>2016-01-13T09:16:00Z</cp:lastPrinted>
  <dcterms:created xsi:type="dcterms:W3CDTF">2016-09-23T15:29:00Z</dcterms:created>
  <dcterms:modified xsi:type="dcterms:W3CDTF">2016-09-28T16:27:00Z</dcterms:modified>
</cp:coreProperties>
</file>