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44E3" w14:textId="77777777" w:rsidR="009328FD" w:rsidRDefault="009328FD" w:rsidP="001E7C75">
      <w:pPr>
        <w:pStyle w:val="NormalWeb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A355503" wp14:editId="3B0B143B">
            <wp:extent cx="1047750" cy="1047750"/>
            <wp:effectExtent l="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27322" w14:textId="77777777" w:rsidR="009328FD" w:rsidRDefault="009328FD" w:rsidP="001E7C75">
      <w:pPr>
        <w:pStyle w:val="NormalWeb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6EC7C1CE" w14:textId="77777777" w:rsidR="001E7C75" w:rsidRDefault="001E7C75" w:rsidP="001E7C75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THE CONSTITUTIONAL APPOINTMENTS AUTHORITY</w:t>
      </w:r>
    </w:p>
    <w:p w14:paraId="0062EFC1" w14:textId="77777777" w:rsidR="009328FD" w:rsidRDefault="009328FD" w:rsidP="001E7C75">
      <w:pPr>
        <w:pStyle w:val="NormalWeb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</w:p>
    <w:p w14:paraId="6E947296" w14:textId="77777777" w:rsidR="001E7C75" w:rsidRDefault="001E7C75" w:rsidP="001E7C75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APPOINTMENT OF CHIEF JUSTICE, REPUBLIC OF SEYCHELLES</w:t>
      </w:r>
    </w:p>
    <w:p w14:paraId="4FFCDC87" w14:textId="77777777" w:rsidR="001E7C75" w:rsidRDefault="001E7C75" w:rsidP="001E7C75">
      <w:pPr>
        <w:pStyle w:val="NormalWeb"/>
        <w:shd w:val="clear" w:color="auto" w:fill="FFFFFF"/>
        <w:spacing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32A50ED2" w14:textId="77777777" w:rsidR="001E7C75" w:rsidRDefault="001E7C75" w:rsidP="001E7C75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en-GB"/>
        </w:rPr>
        <w:t>A vacancy exists for the post of Chief Justice in the Supreme Court of Seychelles.</w:t>
      </w:r>
    </w:p>
    <w:p w14:paraId="013657B9" w14:textId="77777777" w:rsidR="001E7C75" w:rsidRDefault="001E7C75" w:rsidP="001E7C75">
      <w:pPr>
        <w:pStyle w:val="NormalWeb"/>
        <w:shd w:val="clear" w:color="auto" w:fill="FFFFFF"/>
        <w:spacing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1CD007FC" w14:textId="77777777" w:rsidR="001E7C75" w:rsidRPr="00363635" w:rsidRDefault="001E7C75" w:rsidP="001E7C75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The Chief Justice sits full-time as Judge of the Supreme Court (and Constitutional Court) </w:t>
      </w:r>
      <w:r w:rsidRPr="00363635">
        <w:rPr>
          <w:rFonts w:eastAsia="Times New Roman"/>
          <w:sz w:val="28"/>
          <w:szCs w:val="28"/>
          <w:bdr w:val="none" w:sz="0" w:space="0" w:color="auto" w:frame="1"/>
          <w:lang w:eastAsia="en-GB"/>
        </w:rPr>
        <w:t>and</w:t>
      </w:r>
      <w:r w:rsidR="00A27098">
        <w:rPr>
          <w:rFonts w:eastAsia="Times New Roman"/>
          <w:sz w:val="28"/>
          <w:szCs w:val="28"/>
          <w:bdr w:val="none" w:sz="0" w:space="0" w:color="auto" w:frame="1"/>
          <w:lang w:eastAsia="en-GB"/>
        </w:rPr>
        <w:t>,</w:t>
      </w:r>
      <w:r w:rsidRPr="00363635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as a</w:t>
      </w:r>
      <w:r w:rsidR="00363635" w:rsidRPr="00363635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Judge of the Supreme Court, is also an ex-officio member of the Court of Appeal.</w:t>
      </w:r>
    </w:p>
    <w:p w14:paraId="73CF15BA" w14:textId="77777777" w:rsidR="001E7C75" w:rsidRDefault="001E7C75" w:rsidP="001E7C75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14:paraId="6A817B57" w14:textId="77777777" w:rsidR="001E7C75" w:rsidRPr="002A2484" w:rsidRDefault="001E7C75" w:rsidP="002A2484">
      <w:pPr>
        <w:pStyle w:val="NoSpacing"/>
        <w:rPr>
          <w:rFonts w:ascii="Calibri" w:hAnsi="Calibri" w:cs="Calibri"/>
          <w:sz w:val="28"/>
          <w:szCs w:val="28"/>
        </w:rPr>
      </w:pPr>
      <w:r w:rsidRPr="002A2484">
        <w:rPr>
          <w:sz w:val="28"/>
          <w:szCs w:val="28"/>
          <w:bdr w:val="none" w:sz="0" w:space="0" w:color="auto" w:frame="1"/>
          <w:lang w:eastAsia="en-GB"/>
        </w:rPr>
        <w:t>The</w:t>
      </w:r>
      <w:r w:rsidR="002A2484" w:rsidRPr="002A2484">
        <w:rPr>
          <w:sz w:val="28"/>
          <w:szCs w:val="28"/>
          <w:bdr w:val="none" w:sz="0" w:space="0" w:color="auto" w:frame="1"/>
          <w:lang w:eastAsia="en-GB"/>
        </w:rPr>
        <w:t xml:space="preserve"> </w:t>
      </w:r>
      <w:r w:rsidRPr="002A2484">
        <w:rPr>
          <w:sz w:val="28"/>
          <w:szCs w:val="28"/>
          <w:bdr w:val="none" w:sz="0" w:space="0" w:color="auto" w:frame="1"/>
          <w:lang w:eastAsia="en-GB"/>
        </w:rPr>
        <w:t>Chief Justice</w:t>
      </w:r>
      <w:r w:rsidR="002A2484" w:rsidRPr="002A2484">
        <w:rPr>
          <w:sz w:val="28"/>
          <w:szCs w:val="28"/>
          <w:bdr w:val="none" w:sz="0" w:space="0" w:color="auto" w:frame="1"/>
          <w:lang w:eastAsia="en-GB"/>
        </w:rPr>
        <w:t xml:space="preserve"> </w:t>
      </w:r>
      <w:r w:rsidRPr="002A2484">
        <w:rPr>
          <w:sz w:val="28"/>
          <w:szCs w:val="28"/>
          <w:bdr w:val="none" w:sz="0" w:space="0" w:color="auto" w:frame="1"/>
          <w:lang w:eastAsia="en-GB"/>
        </w:rPr>
        <w:t>oversees the administration of the Judiciary, including the Supreme Court, the Magistrates’ Court</w:t>
      </w:r>
      <w:r w:rsidR="004E7EF9">
        <w:rPr>
          <w:sz w:val="28"/>
          <w:szCs w:val="28"/>
          <w:bdr w:val="none" w:sz="0" w:space="0" w:color="auto" w:frame="1"/>
          <w:lang w:eastAsia="en-GB"/>
        </w:rPr>
        <w:t>s</w:t>
      </w:r>
      <w:r w:rsidRPr="002A2484">
        <w:rPr>
          <w:sz w:val="28"/>
          <w:szCs w:val="28"/>
          <w:bdr w:val="none" w:sz="0" w:space="0" w:color="auto" w:frame="1"/>
          <w:lang w:eastAsia="en-GB"/>
        </w:rPr>
        <w:t xml:space="preserve"> and Tribunals. The Chief Justice also drafts rules of court </w:t>
      </w:r>
      <w:r w:rsidR="00A27098" w:rsidRPr="002A2484">
        <w:rPr>
          <w:sz w:val="28"/>
          <w:szCs w:val="28"/>
          <w:bdr w:val="none" w:sz="0" w:space="0" w:color="auto" w:frame="1"/>
          <w:lang w:eastAsia="en-GB"/>
        </w:rPr>
        <w:t xml:space="preserve">relating to matters of </w:t>
      </w:r>
      <w:r w:rsidRPr="002A2484">
        <w:rPr>
          <w:sz w:val="28"/>
          <w:szCs w:val="28"/>
          <w:bdr w:val="none" w:sz="0" w:space="0" w:color="auto" w:frame="1"/>
          <w:lang w:eastAsia="en-GB"/>
        </w:rPr>
        <w:t>practice and procedure for the said courts</w:t>
      </w:r>
      <w:r w:rsidR="00363635" w:rsidRPr="002A2484">
        <w:rPr>
          <w:color w:val="FF0000"/>
          <w:sz w:val="28"/>
          <w:szCs w:val="28"/>
          <w:bdr w:val="none" w:sz="0" w:space="0" w:color="auto" w:frame="1"/>
          <w:lang w:eastAsia="en-GB"/>
        </w:rPr>
        <w:t xml:space="preserve"> </w:t>
      </w:r>
      <w:r w:rsidR="00363635" w:rsidRPr="002A2484">
        <w:rPr>
          <w:sz w:val="28"/>
          <w:szCs w:val="28"/>
          <w:bdr w:val="none" w:sz="0" w:space="0" w:color="auto" w:frame="1"/>
          <w:lang w:eastAsia="en-GB"/>
        </w:rPr>
        <w:t>and</w:t>
      </w:r>
      <w:r w:rsidRPr="002A2484">
        <w:rPr>
          <w:sz w:val="28"/>
          <w:szCs w:val="28"/>
          <w:bdr w:val="none" w:sz="0" w:space="0" w:color="auto" w:frame="1"/>
          <w:lang w:eastAsia="en-GB"/>
        </w:rPr>
        <w:t xml:space="preserve"> maintain</w:t>
      </w:r>
      <w:r w:rsidR="00363635" w:rsidRPr="002A2484">
        <w:rPr>
          <w:sz w:val="28"/>
          <w:szCs w:val="28"/>
          <w:bdr w:val="none" w:sz="0" w:space="0" w:color="auto" w:frame="1"/>
          <w:lang w:eastAsia="en-GB"/>
        </w:rPr>
        <w:t>s</w:t>
      </w:r>
      <w:r w:rsidRPr="002A2484">
        <w:rPr>
          <w:sz w:val="28"/>
          <w:szCs w:val="28"/>
          <w:bdr w:val="none" w:sz="0" w:space="0" w:color="auto" w:frame="1"/>
          <w:lang w:eastAsia="en-GB"/>
        </w:rPr>
        <w:t xml:space="preserve"> relationships with national and international partners. The Office of the Chief Justice is also responsible for overseeing the enrolment and discipline of legal practitioners.</w:t>
      </w:r>
    </w:p>
    <w:p w14:paraId="04659718" w14:textId="77777777" w:rsidR="001E7C75" w:rsidRDefault="001E7C75" w:rsidP="001E7C75">
      <w:pPr>
        <w:pStyle w:val="NormalWeb"/>
        <w:shd w:val="clear" w:color="auto" w:fill="FFFFFF"/>
        <w:spacing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48622911" w14:textId="77777777" w:rsidR="001E7C75" w:rsidRDefault="001E7C75" w:rsidP="001E7C75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en-GB"/>
        </w:rPr>
        <w:t>The role of the Chief Justice requires strong skills in case management and court administration including budgeting and staffing. </w:t>
      </w:r>
    </w:p>
    <w:p w14:paraId="78CE579A" w14:textId="77777777" w:rsidR="001E7C75" w:rsidRDefault="001E7C75" w:rsidP="001E7C75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14:paraId="1F039467" w14:textId="77777777" w:rsidR="001E7C75" w:rsidRDefault="001E7C75" w:rsidP="001E7C75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en-GB"/>
        </w:rPr>
        <w:t>Applications are invited from persons who are suitably qualified in law under Article 126(1) of the Constitution of Seychelles</w:t>
      </w:r>
    </w:p>
    <w:p w14:paraId="6760E4CB" w14:textId="77777777" w:rsidR="001E7C75" w:rsidRDefault="001E7C75" w:rsidP="001E7C75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14:paraId="0B36347D" w14:textId="77777777" w:rsidR="001E7C75" w:rsidRDefault="001E7C75" w:rsidP="001E7C75">
      <w:pPr>
        <w:pStyle w:val="NormalWeb"/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en-GB"/>
        </w:rPr>
        <w:t>A person is suitably qualified for appointment as Chief Justice if –</w:t>
      </w:r>
    </w:p>
    <w:p w14:paraId="398852BD" w14:textId="77777777" w:rsidR="00AE5717" w:rsidRDefault="00AE5717" w:rsidP="001E7C75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DAE065" w14:textId="77777777" w:rsidR="001E7C75" w:rsidRPr="00AE5717" w:rsidRDefault="001E7C75" w:rsidP="00AE571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The person has been entitled to practice befor</w:t>
      </w:r>
      <w:r w:rsidR="00AE5717"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e a court of unlimited</w:t>
      </w:r>
      <w:r w:rsid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="00AE5717"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origin</w:t>
      </w:r>
      <w:r w:rsid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 xml:space="preserve">al </w:t>
      </w:r>
      <w:r w:rsidR="00AE5717"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j</w:t>
      </w:r>
      <w:r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urisdiction for not less than seven years; and</w:t>
      </w:r>
      <w:r w:rsidRPr="00AE5717">
        <w:rPr>
          <w:rFonts w:eastAsia="Times New Roman" w:cs="Segoe UI"/>
          <w:color w:val="000000"/>
          <w:bdr w:val="none" w:sz="0" w:space="0" w:color="auto" w:frame="1"/>
          <w:lang w:eastAsia="en-GB"/>
        </w:rPr>
        <w:br/>
      </w:r>
      <w:r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14:paraId="10DF6454" w14:textId="77777777" w:rsidR="00363635" w:rsidRPr="00363635" w:rsidRDefault="001E7C75" w:rsidP="00AE571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In the opinion of the Constitutional Appoint</w:t>
      </w:r>
      <w:r w:rsidR="00AE5717"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ments Authority, the person has</w:t>
      </w:r>
      <w:r w:rsid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shown outstanding distinction in the practice of law and can effectively, competently and impartially discharge the functions of the office of Judge under the Constitution.</w:t>
      </w:r>
      <w:r w:rsidRPr="00AE5717">
        <w:rPr>
          <w:rFonts w:eastAsia="Times New Roman"/>
          <w:color w:val="000000"/>
          <w:sz w:val="28"/>
          <w:szCs w:val="28"/>
          <w:bdr w:val="none" w:sz="0" w:space="0" w:color="auto" w:frame="1"/>
          <w:lang w:eastAsia="en-GB"/>
        </w:rPr>
        <w:t> </w:t>
      </w:r>
      <w:r w:rsidRPr="00AE5717">
        <w:rPr>
          <w:rFonts w:eastAsia="Times New Roman" w:cs="Segoe UI"/>
          <w:color w:val="000000"/>
          <w:bdr w:val="none" w:sz="0" w:space="0" w:color="auto" w:frame="1"/>
          <w:lang w:eastAsia="en-GB"/>
        </w:rPr>
        <w:br/>
      </w:r>
      <w:r w:rsidRPr="00AE5717">
        <w:rPr>
          <w:rFonts w:eastAsia="Times New Roman" w:cs="Segoe UI"/>
          <w:color w:val="000000"/>
          <w:bdr w:val="none" w:sz="0" w:space="0" w:color="auto" w:frame="1"/>
          <w:lang w:eastAsia="en-GB"/>
        </w:rPr>
        <w:br/>
      </w:r>
      <w:r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The candidate shall adhere to the provisions of the Constitution and the Judicial Code of Ethics (</w:t>
      </w:r>
      <w:r w:rsid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b</w:t>
      </w:r>
      <w:r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 xml:space="preserve">oth documents can be accessed on </w:t>
      </w:r>
      <w:proofErr w:type="spellStart"/>
      <w:r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Seylii</w:t>
      </w:r>
      <w:proofErr w:type="spellEnd"/>
      <w:r w:rsidRPr="00AE5717">
        <w:rPr>
          <w:rFonts w:eastAsia="Times New Roman" w:cs="Segoe UI"/>
          <w:color w:val="000000"/>
          <w:sz w:val="28"/>
          <w:szCs w:val="28"/>
          <w:bdr w:val="none" w:sz="0" w:space="0" w:color="auto" w:frame="1"/>
          <w:lang w:eastAsia="en-GB"/>
        </w:rPr>
        <w:t>).</w:t>
      </w:r>
      <w:r w:rsidRPr="00AE5717">
        <w:rPr>
          <w:rFonts w:eastAsia="Times New Roman" w:cs="Segoe UI"/>
          <w:color w:val="000000"/>
          <w:bdr w:val="none" w:sz="0" w:space="0" w:color="auto" w:frame="1"/>
          <w:lang w:eastAsia="en-GB"/>
        </w:rPr>
        <w:br/>
      </w:r>
      <w:r w:rsidRPr="00AE5717">
        <w:rPr>
          <w:rFonts w:eastAsia="Times New Roman" w:cs="Segoe UI"/>
          <w:color w:val="000000"/>
          <w:bdr w:val="none" w:sz="0" w:space="0" w:color="auto" w:frame="1"/>
          <w:lang w:eastAsia="en-GB"/>
        </w:rPr>
        <w:br/>
      </w:r>
    </w:p>
    <w:p w14:paraId="651891A0" w14:textId="77777777" w:rsidR="00363635" w:rsidRPr="00363635" w:rsidRDefault="00363635" w:rsidP="00363635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97A048" w14:textId="77777777" w:rsidR="001E7C75" w:rsidRPr="00AE5717" w:rsidRDefault="001E7C75" w:rsidP="00363635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E5717">
        <w:rPr>
          <w:rFonts w:eastAsia="Times New Roman" w:cs="Segoe U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The attention of applicants is drawn to the Constitutional Appointments Authority Rules on the “Selection and Appointment of Judicial Officers” and </w:t>
      </w:r>
      <w:r w:rsidRPr="00363635">
        <w:rPr>
          <w:rFonts w:eastAsia="Times New Roman" w:cs="Segoe UI"/>
          <w:b/>
          <w:bCs/>
          <w:sz w:val="28"/>
          <w:szCs w:val="28"/>
          <w:bdr w:val="none" w:sz="0" w:space="0" w:color="auto" w:frame="1"/>
          <w:lang w:eastAsia="en-GB"/>
        </w:rPr>
        <w:t>the</w:t>
      </w:r>
      <w:r w:rsidRPr="00AE5717">
        <w:rPr>
          <w:rFonts w:eastAsia="Times New Roman" w:cs="Segoe UI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 </w:t>
      </w:r>
      <w:r w:rsidRPr="00AE5717">
        <w:rPr>
          <w:rFonts w:eastAsia="Times New Roman" w:cs="Segoe U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Schedules which can be viewed  on the Authority’s website </w:t>
      </w:r>
      <w:hyperlink r:id="rId10" w:tgtFrame="_blank" w:history="1">
        <w:r w:rsidRPr="00AE5717">
          <w:rPr>
            <w:rStyle w:val="Hyperlink"/>
            <w:rFonts w:eastAsia="Times New Roman" w:cs="Segoe UI"/>
            <w:b/>
            <w:bCs/>
            <w:sz w:val="28"/>
            <w:szCs w:val="22"/>
            <w:lang w:eastAsia="en-GB"/>
          </w:rPr>
          <w:t>www.caaseychelles.com</w:t>
        </w:r>
      </w:hyperlink>
      <w:r w:rsidRPr="00AE5717">
        <w:rPr>
          <w:rFonts w:eastAsia="Times New Roman" w:cs="Segoe U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.</w:t>
      </w:r>
    </w:p>
    <w:p w14:paraId="25ECDF59" w14:textId="77777777" w:rsidR="00AE5717" w:rsidRDefault="00AE5717" w:rsidP="00AE5717">
      <w:pPr>
        <w:shd w:val="clear" w:color="auto" w:fill="FFFFFF"/>
        <w:rPr>
          <w:rFonts w:eastAsia="Times New Roman"/>
          <w:color w:val="000000"/>
          <w:bdr w:val="none" w:sz="0" w:space="0" w:color="auto" w:frame="1"/>
          <w:lang w:val="en-GB" w:eastAsia="en-GB"/>
        </w:rPr>
      </w:pPr>
    </w:p>
    <w:p w14:paraId="0B41101C" w14:textId="77777777" w:rsidR="001E7C75" w:rsidRDefault="001E7C75" w:rsidP="00AE571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GB" w:eastAsia="en-GB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en-GB" w:eastAsia="en-GB"/>
        </w:rPr>
        <w:t>The salary, pension, gratuity, allowances and benefits attached to the post are set out in Section 9(1) of the Judiciary Act No. 9 of</w:t>
      </w:r>
      <w:r w:rsidR="00AE5717">
        <w:rPr>
          <w:rFonts w:eastAsia="Times New Roman"/>
          <w:color w:val="000000"/>
          <w:sz w:val="28"/>
          <w:szCs w:val="28"/>
          <w:bdr w:val="none" w:sz="0" w:space="0" w:color="auto" w:frame="1"/>
          <w:lang w:val="en-GB" w:eastAsia="en-GB"/>
        </w:rPr>
        <w:t xml:space="preserve"> 2008, as amended b</w:t>
      </w:r>
      <w:r w:rsidR="004A2C2A">
        <w:rPr>
          <w:rFonts w:eastAsia="Times New Roman"/>
          <w:color w:val="000000"/>
          <w:sz w:val="28"/>
          <w:szCs w:val="28"/>
          <w:bdr w:val="none" w:sz="0" w:space="0" w:color="auto" w:frame="1"/>
          <w:lang w:val="en-GB" w:eastAsia="en-GB"/>
        </w:rPr>
        <w:t xml:space="preserve">y Acts 16 of 2009 and 28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en-GB" w:eastAsia="en-GB"/>
        </w:rPr>
        <w:t>of 2013.</w:t>
      </w:r>
      <w:r>
        <w:rPr>
          <w:rFonts w:eastAsia="Times New Roman"/>
          <w:color w:val="000000"/>
          <w:bdr w:val="none" w:sz="0" w:space="0" w:color="auto" w:frame="1"/>
          <w:lang w:val="en-GB" w:eastAsia="en-GB"/>
        </w:rPr>
        <w:br/>
      </w:r>
      <w:r>
        <w:rPr>
          <w:rFonts w:eastAsia="Times New Roman"/>
          <w:color w:val="000000"/>
          <w:bdr w:val="none" w:sz="0" w:space="0" w:color="auto" w:frame="1"/>
          <w:lang w:val="en-GB" w:eastAsia="en-GB"/>
        </w:rPr>
        <w:br/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GB" w:eastAsia="en-GB"/>
        </w:rPr>
        <w:t xml:space="preserve">Applications including CVs, legal qualifications should reach the office of the Chairman of the Constitutional Appointments Authority on or before: </w:t>
      </w:r>
    </w:p>
    <w:p w14:paraId="5A13AD2E" w14:textId="77777777" w:rsidR="001E7C75" w:rsidRPr="00363635" w:rsidRDefault="00A51F06" w:rsidP="00AE5717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val="en-GB" w:eastAsia="en-GB"/>
        </w:rPr>
        <w:t xml:space="preserve">Thursday </w:t>
      </w:r>
      <w:r w:rsidR="001E7C75" w:rsidRPr="00363635">
        <w:rPr>
          <w:rFonts w:eastAsia="Times New Roman"/>
          <w:b/>
          <w:bCs/>
          <w:sz w:val="28"/>
          <w:szCs w:val="28"/>
          <w:bdr w:val="none" w:sz="0" w:space="0" w:color="auto" w:frame="1"/>
          <w:lang w:val="en-GB" w:eastAsia="en-GB"/>
        </w:rPr>
        <w:t>20</w:t>
      </w:r>
      <w:r w:rsidR="001E7C75" w:rsidRPr="00363635">
        <w:rPr>
          <w:rFonts w:eastAsia="Times New Roman"/>
          <w:b/>
          <w:bCs/>
          <w:iCs/>
          <w:sz w:val="28"/>
          <w:szCs w:val="28"/>
          <w:bdr w:val="none" w:sz="0" w:space="0" w:color="auto" w:frame="1"/>
          <w:vertAlign w:val="superscript"/>
          <w:lang w:val="en-GB" w:eastAsia="en-GB"/>
        </w:rPr>
        <w:t>th</w:t>
      </w:r>
      <w:r w:rsidR="001E7C75" w:rsidRPr="00363635">
        <w:rPr>
          <w:rFonts w:eastAsia="Times New Roman"/>
          <w:i/>
          <w:iCs/>
          <w:bdr w:val="none" w:sz="0" w:space="0" w:color="auto" w:frame="1"/>
          <w:lang w:val="en-GB" w:eastAsia="en-GB"/>
        </w:rPr>
        <w:t> </w:t>
      </w:r>
      <w:r w:rsidR="001E7C75" w:rsidRPr="00363635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en-GB" w:eastAsia="en-GB"/>
        </w:rPr>
        <w:t xml:space="preserve">August 2020 </w:t>
      </w:r>
    </w:p>
    <w:p w14:paraId="3FE7A197" w14:textId="77777777" w:rsidR="001E7C75" w:rsidRPr="00363635" w:rsidRDefault="001E7C75" w:rsidP="001E7C75">
      <w:pPr>
        <w:rPr>
          <w:rFonts w:ascii="Calibri" w:eastAsia="Times New Roman" w:hAnsi="Calibri" w:cs="Calibri"/>
        </w:rPr>
      </w:pPr>
    </w:p>
    <w:p w14:paraId="342EFC91" w14:textId="77777777" w:rsidR="001E7C75" w:rsidRPr="004A2C2A" w:rsidRDefault="00AE5717" w:rsidP="00AE5717">
      <w:pPr>
        <w:rPr>
          <w:rFonts w:eastAsia="Times New Roman"/>
          <w:b/>
          <w:sz w:val="28"/>
          <w:szCs w:val="28"/>
        </w:rPr>
      </w:pPr>
      <w:r w:rsidRPr="004A2C2A">
        <w:rPr>
          <w:rFonts w:eastAsia="Times New Roman"/>
          <w:b/>
          <w:sz w:val="28"/>
          <w:szCs w:val="28"/>
        </w:rPr>
        <w:t>ADDRESS:</w:t>
      </w:r>
    </w:p>
    <w:p w14:paraId="099C10EF" w14:textId="77777777" w:rsidR="00AE5717" w:rsidRPr="004A2C2A" w:rsidRDefault="00AE5717" w:rsidP="00AE5717">
      <w:pPr>
        <w:rPr>
          <w:rFonts w:eastAsia="Times New Roman"/>
          <w:b/>
          <w:sz w:val="28"/>
          <w:szCs w:val="28"/>
        </w:rPr>
      </w:pPr>
      <w:r w:rsidRPr="004A2C2A">
        <w:rPr>
          <w:rFonts w:eastAsia="Times New Roman"/>
          <w:b/>
          <w:sz w:val="28"/>
          <w:szCs w:val="28"/>
        </w:rPr>
        <w:t>1</w:t>
      </w:r>
      <w:r w:rsidRPr="004A2C2A">
        <w:rPr>
          <w:rFonts w:eastAsia="Times New Roman"/>
          <w:b/>
          <w:sz w:val="28"/>
          <w:szCs w:val="28"/>
          <w:vertAlign w:val="superscript"/>
        </w:rPr>
        <w:t>st</w:t>
      </w:r>
      <w:r w:rsidRPr="004A2C2A">
        <w:rPr>
          <w:rFonts w:eastAsia="Times New Roman"/>
          <w:b/>
          <w:sz w:val="28"/>
          <w:szCs w:val="28"/>
        </w:rPr>
        <w:t xml:space="preserve"> Floor. La </w:t>
      </w:r>
      <w:proofErr w:type="spellStart"/>
      <w:r w:rsidRPr="004A2C2A">
        <w:rPr>
          <w:rFonts w:eastAsia="Times New Roman"/>
          <w:b/>
          <w:sz w:val="28"/>
          <w:szCs w:val="28"/>
        </w:rPr>
        <w:t>Ciotat</w:t>
      </w:r>
      <w:proofErr w:type="spellEnd"/>
      <w:r w:rsidRPr="004A2C2A">
        <w:rPr>
          <w:rFonts w:eastAsia="Times New Roman"/>
          <w:b/>
          <w:sz w:val="28"/>
          <w:szCs w:val="28"/>
        </w:rPr>
        <w:t xml:space="preserve"> Building</w:t>
      </w:r>
    </w:p>
    <w:p w14:paraId="43425486" w14:textId="77777777" w:rsidR="00AE5717" w:rsidRPr="004A2C2A" w:rsidRDefault="00AE5717" w:rsidP="00AE5717">
      <w:pPr>
        <w:rPr>
          <w:rFonts w:eastAsia="Times New Roman"/>
          <w:b/>
          <w:sz w:val="28"/>
          <w:szCs w:val="28"/>
        </w:rPr>
      </w:pPr>
      <w:r w:rsidRPr="004A2C2A">
        <w:rPr>
          <w:rFonts w:eastAsia="Times New Roman"/>
          <w:b/>
          <w:sz w:val="28"/>
          <w:szCs w:val="28"/>
        </w:rPr>
        <w:t>P. O. Box 1087.</w:t>
      </w:r>
    </w:p>
    <w:p w14:paraId="62B17F41" w14:textId="77777777" w:rsidR="00AE5717" w:rsidRPr="004A2C2A" w:rsidRDefault="00AE5717" w:rsidP="00AE5717">
      <w:pPr>
        <w:rPr>
          <w:rFonts w:eastAsia="Times New Roman"/>
          <w:b/>
          <w:sz w:val="28"/>
          <w:szCs w:val="28"/>
        </w:rPr>
      </w:pPr>
      <w:r w:rsidRPr="004A2C2A">
        <w:rPr>
          <w:rFonts w:eastAsia="Times New Roman"/>
          <w:b/>
          <w:sz w:val="28"/>
          <w:szCs w:val="28"/>
        </w:rPr>
        <w:t xml:space="preserve">Mont </w:t>
      </w:r>
      <w:proofErr w:type="spellStart"/>
      <w:r w:rsidRPr="004A2C2A">
        <w:rPr>
          <w:rFonts w:eastAsia="Times New Roman"/>
          <w:b/>
          <w:sz w:val="28"/>
          <w:szCs w:val="28"/>
        </w:rPr>
        <w:t>Fleuri</w:t>
      </w:r>
      <w:proofErr w:type="spellEnd"/>
      <w:r w:rsidRPr="004A2C2A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4A2C2A">
        <w:rPr>
          <w:rFonts w:eastAsia="Times New Roman"/>
          <w:b/>
          <w:sz w:val="28"/>
          <w:szCs w:val="28"/>
        </w:rPr>
        <w:t>Mahe</w:t>
      </w:r>
      <w:proofErr w:type="spellEnd"/>
      <w:r w:rsidRPr="004A2C2A">
        <w:rPr>
          <w:rFonts w:eastAsia="Times New Roman"/>
          <w:b/>
          <w:sz w:val="28"/>
          <w:szCs w:val="28"/>
        </w:rPr>
        <w:t>, Seychelles</w:t>
      </w:r>
    </w:p>
    <w:p w14:paraId="4E6BD401" w14:textId="77777777" w:rsidR="00AE5717" w:rsidRPr="004A2C2A" w:rsidRDefault="00AE5717" w:rsidP="00AE5717">
      <w:pPr>
        <w:rPr>
          <w:rFonts w:eastAsia="Times New Roman"/>
          <w:b/>
          <w:sz w:val="28"/>
          <w:szCs w:val="28"/>
        </w:rPr>
      </w:pPr>
      <w:r w:rsidRPr="004A2C2A">
        <w:rPr>
          <w:rFonts w:eastAsia="Times New Roman"/>
          <w:b/>
          <w:sz w:val="28"/>
          <w:szCs w:val="28"/>
        </w:rPr>
        <w:t>TEL: (+248) 4322504</w:t>
      </w:r>
    </w:p>
    <w:p w14:paraId="19B0F9B7" w14:textId="77777777" w:rsidR="00AE5717" w:rsidRPr="004A2C2A" w:rsidRDefault="00AE5717" w:rsidP="00AE5717">
      <w:pPr>
        <w:rPr>
          <w:rFonts w:eastAsia="Times New Roman"/>
          <w:b/>
          <w:sz w:val="28"/>
          <w:szCs w:val="28"/>
        </w:rPr>
      </w:pPr>
      <w:proofErr w:type="gramStart"/>
      <w:r w:rsidRPr="004A2C2A">
        <w:rPr>
          <w:rFonts w:eastAsia="Times New Roman"/>
          <w:b/>
          <w:sz w:val="28"/>
          <w:szCs w:val="28"/>
        </w:rPr>
        <w:t>E:MAIL</w:t>
      </w:r>
      <w:r w:rsidR="00304CDF" w:rsidRPr="004A2C2A">
        <w:rPr>
          <w:rFonts w:eastAsia="Times New Roman"/>
          <w:b/>
          <w:sz w:val="28"/>
          <w:szCs w:val="28"/>
        </w:rPr>
        <w:t>:caa.seychelles@gmail.com</w:t>
      </w:r>
      <w:proofErr w:type="gramEnd"/>
    </w:p>
    <w:p w14:paraId="3568A2AB" w14:textId="77777777" w:rsidR="00304CDF" w:rsidRPr="004A2C2A" w:rsidRDefault="00304CDF" w:rsidP="00AE5717">
      <w:pPr>
        <w:rPr>
          <w:rFonts w:eastAsia="Times New Roman"/>
          <w:b/>
          <w:sz w:val="28"/>
          <w:szCs w:val="28"/>
        </w:rPr>
      </w:pPr>
      <w:r w:rsidRPr="004A2C2A">
        <w:rPr>
          <w:rFonts w:eastAsia="Times New Roman"/>
          <w:b/>
          <w:sz w:val="28"/>
          <w:szCs w:val="28"/>
        </w:rPr>
        <w:t>Website:www.caaseychelles.com</w:t>
      </w:r>
    </w:p>
    <w:sectPr w:rsidR="00304CDF" w:rsidRPr="004A2C2A" w:rsidSect="00DE526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684"/>
    <w:multiLevelType w:val="multilevel"/>
    <w:tmpl w:val="D2FE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5"/>
    <w:rsid w:val="001E7C75"/>
    <w:rsid w:val="002A2484"/>
    <w:rsid w:val="00304CDF"/>
    <w:rsid w:val="00363635"/>
    <w:rsid w:val="00380569"/>
    <w:rsid w:val="00490510"/>
    <w:rsid w:val="004A2C2A"/>
    <w:rsid w:val="004E7EF9"/>
    <w:rsid w:val="009328FD"/>
    <w:rsid w:val="00A27098"/>
    <w:rsid w:val="00A51F06"/>
    <w:rsid w:val="00AE5717"/>
    <w:rsid w:val="00C312EC"/>
    <w:rsid w:val="00D14F96"/>
    <w:rsid w:val="00D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9BB3"/>
  <w15:chartTrackingRefBased/>
  <w15:docId w15:val="{59860A67-2A34-4839-9609-08B4C1E7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7C75"/>
  </w:style>
  <w:style w:type="paragraph" w:styleId="BalloonText">
    <w:name w:val="Balloon Text"/>
    <w:basedOn w:val="Normal"/>
    <w:link w:val="BalloonTextChar"/>
    <w:uiPriority w:val="99"/>
    <w:semiHidden/>
    <w:unhideWhenUsed/>
    <w:rsid w:val="00D14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717"/>
    <w:pPr>
      <w:ind w:left="720"/>
      <w:contextualSpacing/>
    </w:pPr>
  </w:style>
  <w:style w:type="paragraph" w:styleId="NoSpacing">
    <w:name w:val="No Spacing"/>
    <w:uiPriority w:val="1"/>
    <w:qFormat/>
    <w:rsid w:val="002A248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aseychelles.com/" TargetMode="External"/><Relationship Id="rId4" Type="http://schemas.openxmlformats.org/officeDocument/2006/relationships/numbering" Target="numbering.xml"/><Relationship Id="rId9" Type="http://schemas.openxmlformats.org/officeDocument/2006/relationships/image" Target="cid:ii_kcbxzzm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93E950AB8B4DACE7CA84E2338B1D" ma:contentTypeVersion="12" ma:contentTypeDescription="Create a new document." ma:contentTypeScope="" ma:versionID="347b8a14181ec971427bae7e82a44afd">
  <xsd:schema xmlns:xsd="http://www.w3.org/2001/XMLSchema" xmlns:xs="http://www.w3.org/2001/XMLSchema" xmlns:p="http://schemas.microsoft.com/office/2006/metadata/properties" xmlns:ns2="a68f36eb-63e4-493f-9be9-d1210a20cfbf" xmlns:ns3="f8c9381a-14af-4338-8dec-fa93767d0380" targetNamespace="http://schemas.microsoft.com/office/2006/metadata/properties" ma:root="true" ma:fieldsID="ce5673da33cac5c7e7bbd691c873a79f" ns2:_="" ns3:_="">
    <xsd:import namespace="a68f36eb-63e4-493f-9be9-d1210a20cfbf"/>
    <xsd:import namespace="f8c9381a-14af-4338-8dec-fa93767d0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f36eb-63e4-493f-9be9-d1210a20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381a-14af-4338-8dec-fa93767d0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A8AC2-9F4C-4AFA-86FF-72020960829A}"/>
</file>

<file path=customXml/itemProps2.xml><?xml version="1.0" encoding="utf-8"?>
<ds:datastoreItem xmlns:ds="http://schemas.openxmlformats.org/officeDocument/2006/customXml" ds:itemID="{71DAB139-AC58-44FC-A43A-57C09C0A2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3C8D7-0777-45CD-85DE-C16E74DA7A66}">
  <ds:schemaRefs>
    <ds:schemaRef ds:uri="http://www.w3.org/XML/1998/namespace"/>
    <ds:schemaRef ds:uri="d4bd9cfe-5665-46a7-943e-84ad0e5298db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eeae8c9-bf1e-4d8d-b110-9aab24ef00c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I.Ebrahim</dc:creator>
  <cp:keywords/>
  <dc:description/>
  <cp:lastModifiedBy>Mothibatsela, Segametsi</cp:lastModifiedBy>
  <cp:revision>2</cp:revision>
  <cp:lastPrinted>2020-07-17T06:56:00Z</cp:lastPrinted>
  <dcterms:created xsi:type="dcterms:W3CDTF">2020-07-17T13:56:00Z</dcterms:created>
  <dcterms:modified xsi:type="dcterms:W3CDTF">2020-07-17T13:56:00Z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0x01010084C493E950AB8B4DACE7CA84E2338B1D</vt:lpwstr>
  </property>
</Properties>
</file>