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E5" w:rsidRPr="00C378ED" w:rsidRDefault="00A328E5" w:rsidP="00A328E5">
      <w:pPr>
        <w:pStyle w:val="Title"/>
        <w:jc w:val="both"/>
        <w:rPr>
          <w:rFonts w:ascii="Trebuchet MS" w:hAnsi="Trebuchet MS"/>
          <w:sz w:val="22"/>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328E5" w:rsidRPr="00C378ED" w:rsidRDefault="00A328E5" w:rsidP="00A328E5">
      <w:pPr>
        <w:pStyle w:val="BodyTextIndent"/>
        <w:ind w:left="0"/>
        <w:jc w:val="center"/>
        <w:rPr>
          <w:rFonts w:ascii="Trebuchet MS" w:hAnsi="Trebuchet MS" w:cs="Arial"/>
          <w:i w:val="0"/>
          <w:sz w:val="24"/>
          <w:szCs w:val="20"/>
        </w:rPr>
      </w:pPr>
    </w:p>
    <w:p w:rsidR="00A328E5" w:rsidRPr="00C378ED" w:rsidRDefault="00A328E5" w:rsidP="00A328E5">
      <w:pPr>
        <w:pStyle w:val="BodyTextIndent"/>
        <w:ind w:left="0"/>
        <w:jc w:val="center"/>
        <w:rPr>
          <w:rFonts w:ascii="Trebuchet MS" w:hAnsi="Trebuchet MS" w:cs="Arial"/>
          <w:i w:val="0"/>
          <w:sz w:val="24"/>
          <w:szCs w:val="20"/>
        </w:rPr>
      </w:pPr>
      <w:r w:rsidRPr="00C378ED">
        <w:rPr>
          <w:rFonts w:ascii="Trebuchet MS" w:hAnsi="Trebuchet MS" w:cs="Arial"/>
          <w:i w:val="0"/>
          <w:sz w:val="24"/>
          <w:szCs w:val="20"/>
        </w:rPr>
        <w:t xml:space="preserve">SUMMARY OF TERMS AND CONDITIONS FOR </w:t>
      </w:r>
    </w:p>
    <w:p w:rsidR="00A328E5" w:rsidRPr="00C378ED" w:rsidRDefault="00A328E5" w:rsidP="00A328E5">
      <w:pPr>
        <w:pStyle w:val="BodyTextIndent"/>
        <w:ind w:left="0"/>
        <w:jc w:val="center"/>
        <w:rPr>
          <w:rFonts w:ascii="Trebuchet MS" w:hAnsi="Trebuchet MS" w:cs="Arial"/>
          <w:i w:val="0"/>
          <w:sz w:val="24"/>
          <w:szCs w:val="20"/>
        </w:rPr>
      </w:pPr>
    </w:p>
    <w:p w:rsidR="00A328E5" w:rsidRPr="00C378ED" w:rsidRDefault="00A328E5" w:rsidP="00A328E5">
      <w:pPr>
        <w:pStyle w:val="BodyTextIndent"/>
        <w:ind w:left="0"/>
        <w:jc w:val="center"/>
        <w:rPr>
          <w:rFonts w:ascii="Trebuchet MS" w:hAnsi="Trebuchet MS" w:cs="Arial"/>
          <w:i w:val="0"/>
          <w:sz w:val="24"/>
          <w:szCs w:val="20"/>
        </w:rPr>
      </w:pPr>
      <w:r w:rsidRPr="00C378ED">
        <w:rPr>
          <w:rFonts w:ascii="Trebuchet MS" w:hAnsi="Trebuchet MS" w:cs="Arial"/>
          <w:i w:val="0"/>
          <w:sz w:val="24"/>
          <w:szCs w:val="20"/>
        </w:rPr>
        <w:t>PAY POINT J</w:t>
      </w:r>
    </w:p>
    <w:p w:rsidR="00A328E5" w:rsidRPr="00C378ED" w:rsidRDefault="00A328E5" w:rsidP="00A328E5">
      <w:pPr>
        <w:rPr>
          <w:rFonts w:ascii="Trebuchet MS" w:hAnsi="Trebuchet MS"/>
        </w:rPr>
      </w:pPr>
    </w:p>
    <w:p w:rsidR="00A328E5" w:rsidRPr="00C378ED" w:rsidRDefault="00A328E5" w:rsidP="00A328E5">
      <w:pPr>
        <w:pStyle w:val="BodyText"/>
        <w:jc w:val="left"/>
        <w:rPr>
          <w:rFonts w:ascii="Trebuchet MS" w:hAnsi="Trebuchet MS" w:cs="Arial"/>
          <w:b w:val="0"/>
          <w:bCs w:val="0"/>
        </w:rPr>
      </w:pPr>
      <w:r w:rsidRPr="00C378ED">
        <w:rPr>
          <w:rFonts w:ascii="Trebuchet MS" w:hAnsi="Trebuchet MS" w:cs="Arial"/>
          <w:b w:val="0"/>
          <w:bCs w:val="0"/>
        </w:rPr>
        <w:t xml:space="preserve">This is a summary of the principal terms and conditions for </w:t>
      </w:r>
      <w:smartTag w:uri="urn:schemas-microsoft-com:office:smarttags" w:element="place">
        <w:smartTag w:uri="urn:schemas-microsoft-com:office:smarttags" w:element="PersonName">
          <w:r w:rsidRPr="00C378ED">
            <w:rPr>
              <w:rFonts w:ascii="Trebuchet MS" w:hAnsi="Trebuchet MS" w:cs="Arial"/>
              <w:b w:val="0"/>
              <w:bCs w:val="0"/>
            </w:rPr>
            <w:t>Pay</w:t>
          </w:r>
        </w:smartTag>
        <w:r w:rsidRPr="00C378ED">
          <w:rPr>
            <w:rFonts w:ascii="Trebuchet MS" w:hAnsi="Trebuchet MS" w:cs="Arial"/>
            <w:b w:val="0"/>
            <w:bCs w:val="0"/>
          </w:rPr>
          <w:t xml:space="preserve"> </w:t>
        </w:r>
        <w:smartTag w:uri="urn:schemas-microsoft-com:office:smarttags" w:element="PlaceType">
          <w:r w:rsidRPr="00C378ED">
            <w:rPr>
              <w:rFonts w:ascii="Trebuchet MS" w:hAnsi="Trebuchet MS" w:cs="Arial"/>
              <w:b w:val="0"/>
              <w:bCs w:val="0"/>
            </w:rPr>
            <w:t>Point</w:t>
          </w:r>
        </w:smartTag>
        <w:r w:rsidRPr="00C378ED">
          <w:rPr>
            <w:rFonts w:ascii="Trebuchet MS" w:hAnsi="Trebuchet MS" w:cs="Arial"/>
            <w:b w:val="0"/>
            <w:bCs w:val="0"/>
          </w:rPr>
          <w:t xml:space="preserve"> </w:t>
        </w:r>
        <w:smartTag w:uri="urn:schemas-microsoft-com:office:smarttags" w:element="PersonName">
          <w:r w:rsidRPr="00C378ED">
            <w:rPr>
              <w:rFonts w:ascii="Trebuchet MS" w:hAnsi="Trebuchet MS" w:cs="Arial"/>
              <w:b w:val="0"/>
              <w:bCs w:val="0"/>
            </w:rPr>
            <w:t>J</w:t>
          </w:r>
        </w:smartTag>
      </w:smartTag>
      <w:r w:rsidRPr="00C378ED">
        <w:rPr>
          <w:rFonts w:ascii="Trebuchet MS" w:hAnsi="Trebuchet MS" w:cs="Arial"/>
          <w:b w:val="0"/>
          <w:bCs w:val="0"/>
        </w:rPr>
        <w:t xml:space="preserve"> at the Commonwealth Secretariat.  </w:t>
      </w:r>
      <w:r w:rsidRPr="002D3513">
        <w:rPr>
          <w:rFonts w:ascii="Trebuchet MS" w:hAnsi="Trebuchet MS" w:cs="Arial"/>
          <w:b w:val="0"/>
        </w:rPr>
        <w:t>These terms and conditions are non-negotiable</w:t>
      </w:r>
      <w:r>
        <w:rPr>
          <w:rFonts w:ascii="Trebuchet MS" w:hAnsi="Trebuchet MS" w:cs="Arial"/>
        </w:rPr>
        <w:t xml:space="preserve">. </w:t>
      </w:r>
      <w:r w:rsidRPr="00C378ED">
        <w:rPr>
          <w:rFonts w:ascii="Trebuchet MS" w:hAnsi="Trebuchet MS" w:cs="Arial"/>
          <w:b w:val="0"/>
          <w:bCs w:val="0"/>
        </w:rPr>
        <w:t>The full terms and conditions are set out in the Commonwealth Secretariat Staff Rules and Regulations which form part of the contract of all staff members.</w:t>
      </w:r>
    </w:p>
    <w:p w:rsidR="00A328E5" w:rsidRPr="00C378ED" w:rsidRDefault="00A328E5" w:rsidP="00A328E5">
      <w:pPr>
        <w:rPr>
          <w:rFonts w:ascii="Trebuchet MS" w:hAnsi="Trebuchet MS"/>
          <w:b/>
          <w:sz w:val="24"/>
        </w:rPr>
      </w:pPr>
    </w:p>
    <w:tbl>
      <w:tblPr>
        <w:tblW w:w="9214" w:type="dxa"/>
        <w:tblInd w:w="392" w:type="dxa"/>
        <w:tblLook w:val="01E0" w:firstRow="1" w:lastRow="1" w:firstColumn="1" w:lastColumn="1" w:noHBand="0" w:noVBand="0"/>
      </w:tblPr>
      <w:tblGrid>
        <w:gridCol w:w="2268"/>
        <w:gridCol w:w="6946"/>
      </w:tblGrid>
      <w:tr w:rsidR="00A328E5" w:rsidRPr="00C378ED" w:rsidTr="00BE001A">
        <w:tc>
          <w:tcPr>
            <w:tcW w:w="2268" w:type="dxa"/>
          </w:tcPr>
          <w:p w:rsidR="00A328E5" w:rsidRPr="00C378ED" w:rsidRDefault="00A328E5" w:rsidP="00BE001A">
            <w:pPr>
              <w:ind w:left="34"/>
              <w:rPr>
                <w:rFonts w:ascii="Trebuchet MS" w:hAnsi="Trebuchet MS" w:cs="Arial"/>
                <w:b/>
                <w:i/>
                <w:iCs/>
              </w:rPr>
            </w:pPr>
            <w:r w:rsidRPr="00C378ED">
              <w:rPr>
                <w:rFonts w:ascii="Trebuchet MS" w:hAnsi="Trebuchet MS" w:cs="Arial"/>
                <w:b/>
                <w:i/>
                <w:iCs/>
              </w:rPr>
              <w:t>General</w:t>
            </w:r>
          </w:p>
        </w:tc>
        <w:tc>
          <w:tcPr>
            <w:tcW w:w="6946" w:type="dxa"/>
          </w:tcPr>
          <w:p w:rsidR="00A328E5" w:rsidRPr="00C378ED" w:rsidRDefault="00A328E5" w:rsidP="00BE001A">
            <w:pPr>
              <w:ind w:left="34"/>
              <w:jc w:val="both"/>
              <w:rPr>
                <w:rFonts w:ascii="Trebuchet MS" w:hAnsi="Trebuchet MS" w:cs="Arial"/>
              </w:rPr>
            </w:pPr>
            <w:r w:rsidRPr="00C378ED">
              <w:rPr>
                <w:rFonts w:ascii="Trebuchet MS" w:hAnsi="Trebuchet MS" w:cs="Arial"/>
              </w:rPr>
              <w:t xml:space="preserve">All appointments to this grade are made on local terms, regardless of the nationality.  Candidates must have the right to work in the </w:t>
            </w:r>
            <w:smartTag w:uri="urn:schemas-microsoft-com:office:smarttags" w:element="PlaceName">
              <w:smartTag w:uri="urn:schemas-microsoft-com:office:smarttags" w:element="place">
                <w:r w:rsidRPr="00C378ED">
                  <w:rPr>
                    <w:rFonts w:ascii="Trebuchet MS" w:hAnsi="Trebuchet MS" w:cs="Arial"/>
                  </w:rPr>
                  <w:t>United Kingdom</w:t>
                </w:r>
              </w:smartTag>
            </w:smartTag>
            <w:r w:rsidRPr="00C378ED">
              <w:rPr>
                <w:rFonts w:ascii="Trebuchet MS" w:hAnsi="Trebuchet MS" w:cs="Arial"/>
              </w:rPr>
              <w:t>.</w:t>
            </w:r>
          </w:p>
          <w:p w:rsidR="00A328E5" w:rsidRPr="00C378ED" w:rsidRDefault="00A328E5" w:rsidP="00BE001A">
            <w:pPr>
              <w:ind w:left="34"/>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eastAsia="Arial Unicode MS" w:hAnsi="Trebuchet MS" w:cs="Arial"/>
                <w:b/>
                <w:i/>
                <w:iCs/>
              </w:rPr>
            </w:pPr>
            <w:r w:rsidRPr="00C378ED">
              <w:rPr>
                <w:rFonts w:ascii="Trebuchet MS" w:eastAsia="Arial Unicode MS" w:hAnsi="Trebuchet MS" w:cs="Arial"/>
                <w:b/>
                <w:i/>
                <w:iCs/>
              </w:rPr>
              <w:t>Contract Term</w:t>
            </w:r>
          </w:p>
          <w:p w:rsidR="00A328E5" w:rsidRPr="00C378ED" w:rsidRDefault="00A328E5" w:rsidP="00BE001A">
            <w:pPr>
              <w:rPr>
                <w:rFonts w:ascii="Trebuchet MS" w:hAnsi="Trebuchet MS" w:cs="Arial"/>
                <w:b/>
                <w:i/>
                <w:iCs/>
              </w:rPr>
            </w:pPr>
            <w:bookmarkStart w:id="0" w:name="_GoBack"/>
            <w:bookmarkEnd w:id="0"/>
          </w:p>
        </w:tc>
        <w:tc>
          <w:tcPr>
            <w:tcW w:w="6946" w:type="dxa"/>
          </w:tcPr>
          <w:p w:rsidR="00861578" w:rsidRPr="00A50007" w:rsidRDefault="00840359" w:rsidP="00861578">
            <w:pPr>
              <w:jc w:val="both"/>
              <w:rPr>
                <w:rFonts w:ascii="Trebuchet MS" w:hAnsi="Trebuchet MS" w:cs="Arial"/>
              </w:rPr>
            </w:pPr>
            <w:r w:rsidRPr="00A50007">
              <w:rPr>
                <w:rFonts w:ascii="Trebuchet MS" w:hAnsi="Trebuchet MS" w:cs="Arial"/>
              </w:rPr>
              <w:t>Two years fixed term</w:t>
            </w:r>
          </w:p>
          <w:p w:rsidR="00861578" w:rsidRPr="00A50007" w:rsidRDefault="00861578" w:rsidP="00BE001A">
            <w:pPr>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cs="Arial"/>
                <w:b/>
                <w:i/>
                <w:iCs/>
              </w:rPr>
            </w:pPr>
            <w:r w:rsidRPr="00C378ED">
              <w:rPr>
                <w:rFonts w:ascii="Trebuchet MS" w:hAnsi="Trebuchet MS" w:cs="Arial"/>
                <w:b/>
                <w:i/>
                <w:iCs/>
              </w:rPr>
              <w:t>Period of Notice</w:t>
            </w:r>
          </w:p>
        </w:tc>
        <w:tc>
          <w:tcPr>
            <w:tcW w:w="6946" w:type="dxa"/>
          </w:tcPr>
          <w:p w:rsidR="00861578" w:rsidRPr="00A50007" w:rsidRDefault="00861578" w:rsidP="00861578">
            <w:pPr>
              <w:ind w:left="34"/>
              <w:jc w:val="both"/>
              <w:rPr>
                <w:rFonts w:ascii="Trebuchet MS" w:hAnsi="Trebuchet MS" w:cs="Arial"/>
              </w:rPr>
            </w:pPr>
            <w:r w:rsidRPr="00A50007">
              <w:rPr>
                <w:rFonts w:ascii="Trebuchet MS" w:hAnsi="Trebuchet MS" w:cs="Arial"/>
              </w:rPr>
              <w:t xml:space="preserve">The appointment may be terminated by the Secretariat by giving one month’s notice. </w:t>
            </w:r>
          </w:p>
          <w:p w:rsidR="00861578" w:rsidRPr="00A50007" w:rsidRDefault="00861578" w:rsidP="00861578">
            <w:pPr>
              <w:ind w:left="34"/>
              <w:jc w:val="both"/>
              <w:rPr>
                <w:rFonts w:ascii="Trebuchet MS" w:hAnsi="Trebuchet MS" w:cs="Arial"/>
              </w:rPr>
            </w:pPr>
          </w:p>
          <w:p w:rsidR="00A328E5" w:rsidRPr="00A50007" w:rsidRDefault="00861578" w:rsidP="00861578">
            <w:pPr>
              <w:ind w:left="34"/>
              <w:jc w:val="both"/>
              <w:rPr>
                <w:rFonts w:ascii="Trebuchet MS" w:hAnsi="Trebuchet MS" w:cs="Arial"/>
              </w:rPr>
            </w:pPr>
            <w:r w:rsidRPr="00A50007">
              <w:rPr>
                <w:rFonts w:ascii="Trebuchet MS" w:hAnsi="Trebuchet MS" w:cs="Arial"/>
              </w:rPr>
              <w:t>The staff member may resign at any time upon giving one month's notice</w:t>
            </w:r>
          </w:p>
          <w:p w:rsidR="00861578" w:rsidRPr="00A50007" w:rsidRDefault="00861578" w:rsidP="00BE001A">
            <w:pPr>
              <w:ind w:left="34"/>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cs="Arial"/>
                <w:b/>
                <w:i/>
                <w:iCs/>
              </w:rPr>
            </w:pPr>
            <w:r w:rsidRPr="00C378ED">
              <w:rPr>
                <w:rFonts w:ascii="Trebuchet MS" w:hAnsi="Trebuchet MS" w:cs="Arial"/>
                <w:b/>
                <w:i/>
                <w:iCs/>
              </w:rPr>
              <w:t>Annual Leave</w:t>
            </w:r>
          </w:p>
        </w:tc>
        <w:tc>
          <w:tcPr>
            <w:tcW w:w="6946" w:type="dxa"/>
          </w:tcPr>
          <w:p w:rsidR="00A328E5" w:rsidRDefault="00A328E5" w:rsidP="00BE001A">
            <w:pPr>
              <w:ind w:left="34"/>
              <w:jc w:val="both"/>
              <w:rPr>
                <w:rFonts w:ascii="Trebuchet MS" w:hAnsi="Trebuchet MS" w:cs="Arial"/>
              </w:rPr>
            </w:pPr>
            <w:r>
              <w:rPr>
                <w:rFonts w:ascii="Trebuchet MS" w:hAnsi="Trebuchet MS" w:cs="Arial"/>
              </w:rPr>
              <w:t>30 working days per year. Leave without pay will not qualify for the earning of annual leave entitlements.</w:t>
            </w:r>
          </w:p>
          <w:p w:rsidR="00A328E5" w:rsidRPr="00C378ED" w:rsidRDefault="00A328E5" w:rsidP="00BE001A">
            <w:pPr>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b/>
                <w:bCs/>
                <w:i/>
                <w:iCs/>
              </w:rPr>
            </w:pPr>
            <w:r w:rsidRPr="00C378ED">
              <w:rPr>
                <w:rFonts w:ascii="Trebuchet MS" w:hAnsi="Trebuchet MS" w:cs="Arial"/>
                <w:b/>
                <w:i/>
                <w:iCs/>
              </w:rPr>
              <w:t>Pension / Gratuity</w:t>
            </w:r>
          </w:p>
        </w:tc>
        <w:tc>
          <w:tcPr>
            <w:tcW w:w="6946" w:type="dxa"/>
          </w:tcPr>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 xml:space="preserve">The Secretariat contributes 15 per cent of gross salary to either the Commonwealth Secretariat Workplace Pension Scheme or the Commonwealth Secretariat Gratuity Scheme. </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 xml:space="preserve">On commencement, Staff members are automatically enrolled into the Workplace Pension Scheme. Thereafter, the staff member can select one of the following three options: </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Option 1:  The equivalent of 15 percent of an individual’s gross salary will be allocated as employer contribution to the Workplace Pension Scheme.</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 xml:space="preserve">Option 2: An amount equivalent to 10 percent of the individual’s gross salary will be allocated as employer contributions to the </w:t>
            </w:r>
            <w:r w:rsidRPr="00A50007">
              <w:rPr>
                <w:rFonts w:ascii="Trebuchet MS" w:hAnsi="Trebuchet MS" w:cs="Arial"/>
              </w:rPr>
              <w:lastRenderedPageBreak/>
              <w:t>Workplace Pension Scheme and 5 percent will be paid as gratuity at the end of contract or at termination.</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Option 3: Opt out of the Workplace Pension Scheme and have 15 percent of an individual’s gross salary paid into the Gratuity Scheme This must be done within 30 days following enrolment.</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In respect of the Gratuity Scheme each month the Secretariat will pay the equivalent of 15 percent or 5 percent of gross salary into an interest bearing account. At the end of the contract, the staff member will receive an ex-gratia payment of the cumulative amount including interest. This payment is subject to the Secretary-General’s discretion.</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Personal contributions to the Workplace Pension Scheme are subject to limits based on a percentage of earnings depending on age.</w:t>
            </w:r>
          </w:p>
          <w:p w:rsidR="00A328E5" w:rsidRPr="00A50007" w:rsidRDefault="00A328E5" w:rsidP="00BE001A">
            <w:pPr>
              <w:tabs>
                <w:tab w:val="left" w:pos="-1440"/>
                <w:tab w:val="left" w:pos="2694"/>
              </w:tabs>
              <w:jc w:val="both"/>
              <w:rPr>
                <w:rFonts w:ascii="Trebuchet MS" w:hAnsi="Trebuchet MS" w:cs="Arial"/>
              </w:rPr>
            </w:pPr>
          </w:p>
          <w:p w:rsidR="00A328E5" w:rsidRPr="00A50007" w:rsidRDefault="00A328E5" w:rsidP="00BE001A">
            <w:pPr>
              <w:tabs>
                <w:tab w:val="left" w:pos="-1440"/>
                <w:tab w:val="left" w:pos="2694"/>
              </w:tabs>
              <w:jc w:val="both"/>
              <w:rPr>
                <w:rFonts w:ascii="Trebuchet MS" w:hAnsi="Trebuchet MS" w:cs="Arial"/>
              </w:rPr>
            </w:pPr>
            <w:r w:rsidRPr="00A50007">
              <w:rPr>
                <w:rFonts w:ascii="Trebuchet MS" w:hAnsi="Trebuchet MS" w:cs="Arial"/>
              </w:rPr>
              <w:t xml:space="preserve">Further information on the above schemes can be obtained from Human Resources and Facilities Management Division (HRFM). </w:t>
            </w:r>
          </w:p>
          <w:p w:rsidR="00A328E5" w:rsidRPr="00A50007" w:rsidRDefault="00A328E5" w:rsidP="00BE001A">
            <w:pPr>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cs="Arial"/>
                <w:b/>
                <w:i/>
                <w:iCs/>
              </w:rPr>
            </w:pPr>
            <w:r w:rsidRPr="00C378ED">
              <w:rPr>
                <w:rFonts w:ascii="Trebuchet MS" w:hAnsi="Trebuchet MS" w:cs="Arial"/>
                <w:b/>
                <w:i/>
                <w:iCs/>
              </w:rPr>
              <w:lastRenderedPageBreak/>
              <w:t>Retirement Age</w:t>
            </w:r>
          </w:p>
          <w:p w:rsidR="00A328E5" w:rsidRPr="00C378ED" w:rsidRDefault="00A328E5" w:rsidP="00BE001A">
            <w:pPr>
              <w:rPr>
                <w:rFonts w:ascii="Trebuchet MS" w:hAnsi="Trebuchet MS" w:cs="Arial"/>
                <w:b/>
                <w:i/>
                <w:iCs/>
              </w:rPr>
            </w:pPr>
          </w:p>
          <w:p w:rsidR="00A328E5" w:rsidRPr="00C378ED" w:rsidRDefault="00A328E5" w:rsidP="00BE001A">
            <w:pPr>
              <w:ind w:left="34"/>
              <w:rPr>
                <w:rFonts w:ascii="Trebuchet MS" w:hAnsi="Trebuchet MS" w:cs="Arial"/>
                <w:b/>
                <w:i/>
                <w:iCs/>
              </w:rPr>
            </w:pPr>
            <w:r w:rsidRPr="00C378ED">
              <w:rPr>
                <w:rFonts w:ascii="Trebuchet MS" w:hAnsi="Trebuchet MS" w:cs="Arial"/>
                <w:b/>
                <w:i/>
                <w:iCs/>
              </w:rPr>
              <w:t>Private Healthcare and Dental Cover</w:t>
            </w:r>
          </w:p>
          <w:p w:rsidR="00A328E5" w:rsidRPr="00C378ED" w:rsidRDefault="00A328E5" w:rsidP="00BE001A">
            <w:pPr>
              <w:ind w:left="34"/>
              <w:rPr>
                <w:rFonts w:ascii="Trebuchet MS" w:hAnsi="Trebuchet MS" w:cs="Arial"/>
                <w:b/>
                <w:i/>
                <w:iCs/>
              </w:rPr>
            </w:pPr>
          </w:p>
          <w:p w:rsidR="00A328E5" w:rsidRPr="00C378ED" w:rsidRDefault="00A328E5" w:rsidP="00BE001A">
            <w:pPr>
              <w:ind w:left="34"/>
              <w:rPr>
                <w:rFonts w:ascii="Trebuchet MS" w:hAnsi="Trebuchet MS" w:cs="Arial"/>
                <w:b/>
                <w:i/>
                <w:iCs/>
              </w:rPr>
            </w:pPr>
          </w:p>
          <w:p w:rsidR="00A328E5" w:rsidRPr="00C378ED" w:rsidRDefault="00A328E5" w:rsidP="00BE001A">
            <w:pPr>
              <w:ind w:left="34"/>
              <w:rPr>
                <w:rFonts w:ascii="Trebuchet MS" w:hAnsi="Trebuchet MS" w:cs="Arial"/>
                <w:b/>
                <w:i/>
                <w:iCs/>
              </w:rPr>
            </w:pPr>
          </w:p>
          <w:p w:rsidR="00A328E5" w:rsidRPr="00C378ED" w:rsidRDefault="00A328E5" w:rsidP="00BE001A">
            <w:pPr>
              <w:ind w:left="34"/>
              <w:rPr>
                <w:rFonts w:ascii="Trebuchet MS" w:hAnsi="Trebuchet MS" w:cs="Arial"/>
                <w:b/>
                <w:i/>
                <w:iCs/>
              </w:rPr>
            </w:pPr>
            <w:r w:rsidRPr="00C378ED">
              <w:rPr>
                <w:rFonts w:ascii="Trebuchet MS" w:hAnsi="Trebuchet MS" w:cs="Arial"/>
                <w:b/>
                <w:i/>
                <w:iCs/>
              </w:rPr>
              <w:t>Insurance</w:t>
            </w:r>
          </w:p>
        </w:tc>
        <w:tc>
          <w:tcPr>
            <w:tcW w:w="6946" w:type="dxa"/>
          </w:tcPr>
          <w:p w:rsidR="00A328E5" w:rsidRPr="00A50007" w:rsidRDefault="00A328E5" w:rsidP="00BE001A">
            <w:pPr>
              <w:jc w:val="both"/>
              <w:rPr>
                <w:rFonts w:ascii="Trebuchet MS" w:eastAsia="Arial Unicode MS" w:hAnsi="Trebuchet MS"/>
              </w:rPr>
            </w:pPr>
            <w:r w:rsidRPr="00A50007">
              <w:rPr>
                <w:rFonts w:ascii="Trebuchet MS" w:hAnsi="Trebuchet MS"/>
              </w:rPr>
              <w:t>The Commonwealth Secretariat retirement age is 65 years.</w:t>
            </w:r>
          </w:p>
          <w:p w:rsidR="00A328E5" w:rsidRPr="00A50007" w:rsidRDefault="00A328E5" w:rsidP="00BE001A">
            <w:pPr>
              <w:jc w:val="both"/>
              <w:rPr>
                <w:rFonts w:ascii="Trebuchet MS" w:hAnsi="Trebuchet MS" w:cs="Arial"/>
              </w:rPr>
            </w:pPr>
          </w:p>
          <w:p w:rsidR="00A328E5" w:rsidRPr="00A50007" w:rsidRDefault="00A328E5" w:rsidP="00BE001A">
            <w:pPr>
              <w:jc w:val="both"/>
              <w:rPr>
                <w:rFonts w:ascii="Trebuchet MS" w:hAnsi="Trebuchet MS" w:cs="Arial"/>
              </w:rPr>
            </w:pPr>
            <w:r w:rsidRPr="00A50007">
              <w:rPr>
                <w:rFonts w:ascii="Trebuchet MS" w:hAnsi="Trebuchet MS" w:cs="Arial"/>
              </w:rPr>
              <w:t>The Secretariat provides non-contributory private healthcare and dental cover for all London-based employees, their spouses/officially recognised partners and children. The cover is subject to underwriting conditions</w:t>
            </w:r>
          </w:p>
          <w:p w:rsidR="00A328E5" w:rsidRPr="00A50007" w:rsidRDefault="00A328E5" w:rsidP="00BE001A">
            <w:pPr>
              <w:jc w:val="both"/>
              <w:rPr>
                <w:rFonts w:ascii="Trebuchet MS" w:hAnsi="Trebuchet MS" w:cs="Arial"/>
              </w:rPr>
            </w:pPr>
          </w:p>
          <w:p w:rsidR="00A328E5" w:rsidRPr="00A50007" w:rsidRDefault="00A328E5" w:rsidP="00BE001A">
            <w:pPr>
              <w:jc w:val="both"/>
              <w:rPr>
                <w:rFonts w:ascii="Trebuchet MS" w:hAnsi="Trebuchet MS" w:cs="Arial"/>
              </w:rPr>
            </w:pPr>
            <w:r w:rsidRPr="00A50007">
              <w:rPr>
                <w:rFonts w:ascii="Trebuchet MS" w:hAnsi="Trebuchet MS" w:cs="Arial"/>
              </w:rPr>
              <w:t xml:space="preserve">Subject to funding, the Secretariat may put in place various insurance schemes for its employees. Where such policies are in place, they shall be subject to the conditions of the underwriters and may change from time to time. Among the insurance policies the Commonwealth Secretariat provides is the Personal Accident/Travel policy. With regard to bodily injury, the </w:t>
            </w:r>
            <w:proofErr w:type="gramStart"/>
            <w:r w:rsidRPr="00A50007">
              <w:rPr>
                <w:rFonts w:ascii="Trebuchet MS" w:hAnsi="Trebuchet MS" w:cs="Arial"/>
              </w:rPr>
              <w:t>underwriters</w:t>
            </w:r>
            <w:proofErr w:type="gramEnd"/>
            <w:r w:rsidRPr="00A50007">
              <w:rPr>
                <w:rFonts w:ascii="Trebuchet MS" w:hAnsi="Trebuchet MS" w:cs="Arial"/>
              </w:rPr>
              <w:t xml:space="preserve"> conditions for that policy provide for the following, in respect of </w:t>
            </w:r>
            <w:proofErr w:type="spellStart"/>
            <w:r w:rsidRPr="00A50007">
              <w:rPr>
                <w:rFonts w:ascii="Trebuchet MS" w:hAnsi="Trebuchet MS" w:cs="Arial"/>
              </w:rPr>
              <w:t>pre existing</w:t>
            </w:r>
            <w:proofErr w:type="spellEnd"/>
            <w:r w:rsidRPr="00A50007">
              <w:rPr>
                <w:rFonts w:ascii="Trebuchet MS" w:hAnsi="Trebuchet MS" w:cs="Arial"/>
              </w:rPr>
              <w:t xml:space="preserve"> conditions;</w:t>
            </w:r>
          </w:p>
          <w:p w:rsidR="00A328E5" w:rsidRPr="00A50007" w:rsidRDefault="00A328E5" w:rsidP="00BE001A">
            <w:pPr>
              <w:ind w:left="720"/>
              <w:jc w:val="both"/>
              <w:rPr>
                <w:rFonts w:ascii="Trebuchet MS" w:hAnsi="Trebuchet MS" w:cs="Arial"/>
              </w:rPr>
            </w:pPr>
          </w:p>
          <w:p w:rsidR="00A328E5" w:rsidRPr="00A50007" w:rsidRDefault="00A328E5" w:rsidP="00BE001A">
            <w:pPr>
              <w:jc w:val="both"/>
              <w:rPr>
                <w:rFonts w:ascii="Trebuchet MS" w:hAnsi="Trebuchet MS" w:cs="Arial"/>
              </w:rPr>
            </w:pPr>
            <w:r w:rsidRPr="00A50007">
              <w:rPr>
                <w:rFonts w:ascii="Trebuchet MS" w:hAnsi="Trebuchet MS" w:cs="Arial"/>
              </w:rPr>
              <w:t>Any contributory degenerative condition or disablement (as determined by a Qualified Medical Practitioner) known by the Insured Person to be in existence at the time of sustaining Bodily Injury will be taken into account by Insurers in assessing the level of benefit payable.</w:t>
            </w:r>
          </w:p>
          <w:p w:rsidR="00A328E5" w:rsidRPr="00A50007" w:rsidRDefault="00A328E5" w:rsidP="00BE001A">
            <w:pPr>
              <w:ind w:left="720"/>
              <w:jc w:val="both"/>
              <w:rPr>
                <w:rFonts w:ascii="Trebuchet MS" w:hAnsi="Trebuchet MS" w:cs="Arial"/>
              </w:rPr>
            </w:pPr>
            <w:r w:rsidRPr="00A50007">
              <w:rPr>
                <w:rFonts w:ascii="Trebuchet MS" w:hAnsi="Trebuchet MS" w:cs="Arial"/>
              </w:rPr>
              <w:t> </w:t>
            </w:r>
          </w:p>
          <w:p w:rsidR="00A328E5" w:rsidRPr="00A50007" w:rsidRDefault="00A328E5" w:rsidP="00BE001A">
            <w:pPr>
              <w:jc w:val="both"/>
              <w:rPr>
                <w:rFonts w:ascii="Trebuchet MS" w:hAnsi="Trebuchet MS" w:cs="Arial"/>
              </w:rPr>
            </w:pPr>
            <w:r w:rsidRPr="00A50007">
              <w:rPr>
                <w:rFonts w:ascii="Trebuchet MS" w:hAnsi="Trebuchet MS" w:cs="Arial"/>
              </w:rPr>
              <w:t>Further information on the existing policies would be made available to staff by the Corporate Services Division on request. Staff shall be notified of any changes in the policies as they become necessary from time to time.</w:t>
            </w:r>
          </w:p>
          <w:p w:rsidR="00A328E5" w:rsidRPr="00A50007" w:rsidRDefault="00A328E5" w:rsidP="00BE001A">
            <w:pPr>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cs="Arial"/>
                <w:b/>
                <w:i/>
                <w:iCs/>
              </w:rPr>
            </w:pPr>
            <w:r w:rsidRPr="00C378ED">
              <w:rPr>
                <w:rFonts w:ascii="Trebuchet MS" w:hAnsi="Trebuchet MS" w:cs="Arial"/>
                <w:b/>
                <w:i/>
                <w:iCs/>
              </w:rPr>
              <w:t>Salary Point</w:t>
            </w:r>
          </w:p>
        </w:tc>
        <w:tc>
          <w:tcPr>
            <w:tcW w:w="6946" w:type="dxa"/>
          </w:tcPr>
          <w:p w:rsidR="00A328E5" w:rsidRPr="00C378ED" w:rsidRDefault="00A328E5" w:rsidP="00BE001A">
            <w:pPr>
              <w:ind w:left="34"/>
              <w:jc w:val="both"/>
              <w:rPr>
                <w:rFonts w:ascii="Trebuchet MS" w:hAnsi="Trebuchet MS" w:cs="Arial"/>
              </w:rPr>
            </w:pPr>
            <w:r w:rsidRPr="00C378ED">
              <w:rPr>
                <w:rFonts w:ascii="Trebuchet MS" w:hAnsi="Trebuchet MS" w:cs="Arial"/>
              </w:rPr>
              <w:t>£</w:t>
            </w:r>
            <w:r>
              <w:rPr>
                <w:rFonts w:ascii="Trebuchet MS" w:hAnsi="Trebuchet MS" w:cs="Arial"/>
              </w:rPr>
              <w:t>38,823</w:t>
            </w:r>
            <w:r w:rsidRPr="00C378ED">
              <w:rPr>
                <w:rFonts w:ascii="Trebuchet MS" w:hAnsi="Trebuchet MS" w:cs="Arial"/>
              </w:rPr>
              <w:t xml:space="preserve"> per annum gross.</w:t>
            </w:r>
          </w:p>
          <w:p w:rsidR="00A328E5" w:rsidRPr="00C378ED" w:rsidRDefault="00A328E5" w:rsidP="00BE001A">
            <w:pPr>
              <w:ind w:left="34"/>
              <w:jc w:val="both"/>
              <w:rPr>
                <w:rFonts w:ascii="Trebuchet MS" w:hAnsi="Trebuchet MS" w:cs="Arial"/>
              </w:rPr>
            </w:pPr>
          </w:p>
          <w:p w:rsidR="00A328E5" w:rsidRPr="00C378ED" w:rsidRDefault="00A328E5" w:rsidP="00BE001A">
            <w:pPr>
              <w:ind w:left="34"/>
              <w:jc w:val="both"/>
              <w:rPr>
                <w:rFonts w:ascii="Trebuchet MS" w:hAnsi="Trebuchet MS" w:cs="Arial"/>
              </w:rPr>
            </w:pPr>
            <w:r w:rsidRPr="00C378ED">
              <w:rPr>
                <w:rFonts w:ascii="Trebuchet MS" w:hAnsi="Trebuchet MS" w:cs="Arial"/>
              </w:rPr>
              <w:t>Salary is paid monthly (normally on the 25th) directly to the Bank, and is subject to deduction of Commonwealth Secretariat internal income tax paid at UK income tax rates and National Insurance contributions.</w:t>
            </w:r>
          </w:p>
          <w:p w:rsidR="00A328E5" w:rsidRPr="00C378ED" w:rsidRDefault="00A328E5" w:rsidP="00BE001A">
            <w:pPr>
              <w:ind w:left="34"/>
              <w:jc w:val="both"/>
              <w:rPr>
                <w:rFonts w:ascii="Trebuchet MS" w:hAnsi="Trebuchet MS" w:cs="Arial"/>
              </w:rPr>
            </w:pPr>
          </w:p>
        </w:tc>
      </w:tr>
      <w:tr w:rsidR="00A328E5" w:rsidRPr="00C378ED" w:rsidTr="00BE001A">
        <w:tc>
          <w:tcPr>
            <w:tcW w:w="2268" w:type="dxa"/>
          </w:tcPr>
          <w:p w:rsidR="00A328E5" w:rsidRPr="00C378ED" w:rsidRDefault="00A328E5" w:rsidP="00BE001A">
            <w:pPr>
              <w:ind w:left="34"/>
              <w:rPr>
                <w:rFonts w:ascii="Trebuchet MS" w:hAnsi="Trebuchet MS"/>
                <w:b/>
                <w:i/>
                <w:iCs/>
              </w:rPr>
            </w:pPr>
            <w:r w:rsidRPr="00C378ED">
              <w:rPr>
                <w:rFonts w:ascii="Trebuchet MS" w:hAnsi="Trebuchet MS" w:cs="Arial"/>
                <w:b/>
                <w:i/>
                <w:iCs/>
              </w:rPr>
              <w:t>Allowances</w:t>
            </w:r>
          </w:p>
        </w:tc>
        <w:tc>
          <w:tcPr>
            <w:tcW w:w="6946" w:type="dxa"/>
          </w:tcPr>
          <w:p w:rsidR="00A328E5" w:rsidRPr="00C378ED" w:rsidRDefault="00A328E5" w:rsidP="00BE001A">
            <w:pPr>
              <w:ind w:left="34"/>
              <w:jc w:val="both"/>
              <w:rPr>
                <w:rFonts w:ascii="Trebuchet MS" w:hAnsi="Trebuchet MS" w:cs="Arial"/>
              </w:rPr>
            </w:pPr>
            <w:r w:rsidRPr="00C378ED">
              <w:rPr>
                <w:rFonts w:ascii="Trebuchet MS" w:hAnsi="Trebuchet MS" w:cs="Arial"/>
              </w:rPr>
              <w:t>None.  The salary given is fully inclusive.</w:t>
            </w:r>
          </w:p>
          <w:p w:rsidR="00A328E5" w:rsidRPr="00C378ED" w:rsidRDefault="00A328E5" w:rsidP="00BE001A">
            <w:pPr>
              <w:ind w:left="34"/>
              <w:rPr>
                <w:rFonts w:ascii="Trebuchet MS" w:hAnsi="Trebuchet MS"/>
                <w:highlight w:val="yellow"/>
              </w:rPr>
            </w:pPr>
          </w:p>
        </w:tc>
      </w:tr>
    </w:tbl>
    <w:p w:rsidR="002277C0" w:rsidRDefault="002277C0"/>
    <w:sectPr w:rsidR="002277C0" w:rsidSect="00AA7370">
      <w:footerReference w:type="even" r:id="rId4"/>
      <w:footerReference w:type="default" r:id="rId5"/>
      <w:headerReference w:type="first" r:id="rId6"/>
      <w:footerReference w:type="first" r:id="rId7"/>
      <w:endnotePr>
        <w:numFmt w:val="decimal"/>
      </w:endnotePr>
      <w:pgSz w:w="11905" w:h="16837" w:code="9"/>
      <w:pgMar w:top="1134" w:right="1247" w:bottom="1134" w:left="1247" w:header="992" w:footer="737"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64" w:rsidRDefault="00565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C64" w:rsidRDefault="0056507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64" w:rsidRPr="0045406E" w:rsidRDefault="0056507F" w:rsidP="005D14FD">
    <w:pPr>
      <w:tabs>
        <w:tab w:val="center" w:pos="4678"/>
        <w:tab w:val="right" w:pos="9356"/>
      </w:tabs>
      <w:spacing w:line="240" w:lineRule="exact"/>
      <w:rPr>
        <w:rFonts w:ascii="Arial" w:hAnsi="Arial" w:cs="Arial"/>
        <w:bCs/>
        <w:lang w:val="en-US"/>
      </w:rPr>
    </w:pPr>
    <w:r>
      <w:rPr>
        <w:rStyle w:val="PageNumber"/>
        <w:rFonts w:ascii="Arial" w:hAnsi="Arial" w:cs="Arial"/>
        <w:b/>
      </w:rPr>
      <w:t>June 2018</w:t>
    </w:r>
    <w:r w:rsidRPr="0045406E">
      <w:rPr>
        <w:rStyle w:val="PageNumber"/>
        <w:rFonts w:ascii="Arial" w:hAnsi="Arial" w:cs="Arial"/>
        <w:b/>
      </w:rPr>
      <w:tab/>
    </w:r>
    <w:r w:rsidRPr="0045406E">
      <w:rPr>
        <w:rStyle w:val="PageNumber"/>
        <w:rFonts w:ascii="Arial" w:hAnsi="Arial" w:cs="Arial"/>
        <w:b/>
        <w:bCs/>
      </w:rPr>
      <w:t>Point J</w:t>
    </w:r>
    <w:r w:rsidRPr="0045406E">
      <w:rPr>
        <w:rStyle w:val="PageNumber"/>
        <w:rFonts w:ascii="Arial" w:hAnsi="Arial" w:cs="Arial"/>
        <w:b/>
        <w:bCs/>
      </w:rPr>
      <w:tab/>
    </w:r>
    <w:r w:rsidRPr="00E749CF">
      <w:rPr>
        <w:rStyle w:val="PageNumber"/>
        <w:rFonts w:ascii="Arial" w:hAnsi="Arial" w:cs="Arial"/>
        <w:b/>
        <w:bCs/>
      </w:rPr>
      <w:t xml:space="preserve">Page </w:t>
    </w:r>
    <w:r w:rsidRPr="00E749CF">
      <w:rPr>
        <w:rStyle w:val="PageNumber"/>
        <w:rFonts w:ascii="Arial" w:hAnsi="Arial" w:cs="Arial"/>
        <w:b/>
      </w:rPr>
      <w:fldChar w:fldCharType="begin"/>
    </w:r>
    <w:r w:rsidRPr="00E749CF">
      <w:rPr>
        <w:rStyle w:val="PageNumber"/>
        <w:rFonts w:ascii="Arial" w:hAnsi="Arial" w:cs="Arial"/>
        <w:b/>
      </w:rPr>
      <w:instrText xml:space="preserve"> PAGE </w:instrText>
    </w:r>
    <w:r w:rsidRPr="00E749CF">
      <w:rPr>
        <w:rStyle w:val="PageNumber"/>
        <w:rFonts w:ascii="Arial" w:hAnsi="Arial" w:cs="Arial"/>
        <w:b/>
      </w:rPr>
      <w:fldChar w:fldCharType="separate"/>
    </w:r>
    <w:r w:rsidR="00A50007">
      <w:rPr>
        <w:rStyle w:val="PageNumber"/>
        <w:rFonts w:ascii="Arial" w:hAnsi="Arial" w:cs="Arial"/>
        <w:b/>
        <w:noProof/>
      </w:rPr>
      <w:t>2</w:t>
    </w:r>
    <w:r w:rsidRPr="00E749CF">
      <w:rPr>
        <w:rStyle w:val="PageNumber"/>
        <w:rFonts w:ascii="Arial" w:hAnsi="Arial" w:cs="Arial"/>
        <w:b/>
      </w:rPr>
      <w:fldChar w:fldCharType="end"/>
    </w:r>
    <w:r w:rsidRPr="00E749CF">
      <w:rPr>
        <w:rStyle w:val="PageNumber"/>
        <w:rFonts w:ascii="Arial" w:hAnsi="Arial" w:cs="Arial"/>
        <w:b/>
      </w:rPr>
      <w:t xml:space="preserve"> of </w:t>
    </w:r>
    <w:r w:rsidRPr="00E749CF">
      <w:rPr>
        <w:rStyle w:val="PageNumber"/>
        <w:rFonts w:ascii="Arial" w:hAnsi="Arial" w:cs="Arial"/>
        <w:b/>
      </w:rPr>
      <w:fldChar w:fldCharType="begin"/>
    </w:r>
    <w:r w:rsidRPr="00E749CF">
      <w:rPr>
        <w:rStyle w:val="PageNumber"/>
        <w:rFonts w:ascii="Arial" w:hAnsi="Arial" w:cs="Arial"/>
        <w:b/>
      </w:rPr>
      <w:instrText xml:space="preserve"> NUMPAGES </w:instrText>
    </w:r>
    <w:r w:rsidRPr="00E749CF">
      <w:rPr>
        <w:rStyle w:val="PageNumber"/>
        <w:rFonts w:ascii="Arial" w:hAnsi="Arial" w:cs="Arial"/>
        <w:b/>
      </w:rPr>
      <w:fldChar w:fldCharType="separate"/>
    </w:r>
    <w:r w:rsidR="00A50007">
      <w:rPr>
        <w:rStyle w:val="PageNumber"/>
        <w:rFonts w:ascii="Arial" w:hAnsi="Arial" w:cs="Arial"/>
        <w:b/>
        <w:noProof/>
      </w:rPr>
      <w:t>2</w:t>
    </w:r>
    <w:r w:rsidRPr="00E749CF">
      <w:rPr>
        <w:rStyle w:val="PageNumber"/>
        <w:rFonts w:ascii="Arial" w:hAnsi="Arial" w:cs="Arial"/>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78" w:rsidRPr="0045406E" w:rsidRDefault="0056507F" w:rsidP="00AD4978">
    <w:pPr>
      <w:tabs>
        <w:tab w:val="center" w:pos="4678"/>
        <w:tab w:val="right" w:pos="9356"/>
      </w:tabs>
      <w:spacing w:line="240" w:lineRule="exact"/>
      <w:rPr>
        <w:rFonts w:ascii="Arial" w:hAnsi="Arial" w:cs="Arial"/>
        <w:bCs/>
        <w:lang w:val="en-US"/>
      </w:rPr>
    </w:pPr>
    <w:r>
      <w:rPr>
        <w:rStyle w:val="PageNumber"/>
        <w:rFonts w:ascii="Arial" w:hAnsi="Arial" w:cs="Arial"/>
        <w:b/>
      </w:rPr>
      <w:t>02 N</w:t>
    </w:r>
    <w:r>
      <w:rPr>
        <w:rStyle w:val="PageNumber"/>
        <w:rFonts w:ascii="Arial" w:hAnsi="Arial" w:cs="Arial"/>
        <w:b/>
      </w:rPr>
      <w:t>ovember 2016</w:t>
    </w:r>
    <w:r w:rsidRPr="0045406E">
      <w:rPr>
        <w:rStyle w:val="PageNumber"/>
        <w:rFonts w:ascii="Arial" w:hAnsi="Arial" w:cs="Arial"/>
        <w:b/>
      </w:rPr>
      <w:tab/>
    </w:r>
    <w:r w:rsidRPr="0045406E">
      <w:rPr>
        <w:rStyle w:val="PageNumber"/>
        <w:rFonts w:ascii="Arial" w:hAnsi="Arial" w:cs="Arial"/>
        <w:b/>
        <w:bCs/>
      </w:rPr>
      <w:t>Point J</w:t>
    </w:r>
    <w:r w:rsidRPr="0045406E">
      <w:rPr>
        <w:rStyle w:val="PageNumber"/>
        <w:rFonts w:ascii="Arial" w:hAnsi="Arial" w:cs="Arial"/>
        <w:b/>
        <w:bCs/>
      </w:rPr>
      <w:tab/>
    </w:r>
    <w:r w:rsidRPr="00E749CF">
      <w:rPr>
        <w:rStyle w:val="PageNumber"/>
        <w:rFonts w:ascii="Arial" w:hAnsi="Arial" w:cs="Arial"/>
        <w:b/>
        <w:bCs/>
      </w:rPr>
      <w:t xml:space="preserve">Page </w:t>
    </w:r>
    <w:r w:rsidRPr="00E749CF">
      <w:rPr>
        <w:rStyle w:val="PageNumber"/>
        <w:rFonts w:ascii="Arial" w:hAnsi="Arial" w:cs="Arial"/>
        <w:b/>
      </w:rPr>
      <w:fldChar w:fldCharType="begin"/>
    </w:r>
    <w:r w:rsidRPr="00E749CF">
      <w:rPr>
        <w:rStyle w:val="PageNumber"/>
        <w:rFonts w:ascii="Arial" w:hAnsi="Arial" w:cs="Arial"/>
        <w:b/>
      </w:rPr>
      <w:instrText xml:space="preserve"> PAGE </w:instrText>
    </w:r>
    <w:r w:rsidRPr="00E749CF">
      <w:rPr>
        <w:rStyle w:val="PageNumber"/>
        <w:rFonts w:ascii="Arial" w:hAnsi="Arial" w:cs="Arial"/>
        <w:b/>
      </w:rPr>
      <w:fldChar w:fldCharType="separate"/>
    </w:r>
    <w:r>
      <w:rPr>
        <w:rStyle w:val="PageNumber"/>
        <w:rFonts w:ascii="Arial" w:hAnsi="Arial" w:cs="Arial"/>
        <w:b/>
        <w:noProof/>
      </w:rPr>
      <w:t>1</w:t>
    </w:r>
    <w:r w:rsidRPr="00E749CF">
      <w:rPr>
        <w:rStyle w:val="PageNumber"/>
        <w:rFonts w:ascii="Arial" w:hAnsi="Arial" w:cs="Arial"/>
        <w:b/>
      </w:rPr>
      <w:fldChar w:fldCharType="end"/>
    </w:r>
    <w:r w:rsidRPr="00E749CF">
      <w:rPr>
        <w:rStyle w:val="PageNumber"/>
        <w:rFonts w:ascii="Arial" w:hAnsi="Arial" w:cs="Arial"/>
        <w:b/>
      </w:rPr>
      <w:t xml:space="preserve"> of </w:t>
    </w:r>
    <w:r w:rsidRPr="00E749CF">
      <w:rPr>
        <w:rStyle w:val="PageNumber"/>
        <w:rFonts w:ascii="Arial" w:hAnsi="Arial" w:cs="Arial"/>
        <w:b/>
      </w:rPr>
      <w:fldChar w:fldCharType="begin"/>
    </w:r>
    <w:r w:rsidRPr="00E749CF">
      <w:rPr>
        <w:rStyle w:val="PageNumber"/>
        <w:rFonts w:ascii="Arial" w:hAnsi="Arial" w:cs="Arial"/>
        <w:b/>
      </w:rPr>
      <w:instrText xml:space="preserve"> NUMPAGES </w:instrText>
    </w:r>
    <w:r w:rsidRPr="00E749CF">
      <w:rPr>
        <w:rStyle w:val="PageNumber"/>
        <w:rFonts w:ascii="Arial" w:hAnsi="Arial" w:cs="Arial"/>
        <w:b/>
      </w:rPr>
      <w:fldChar w:fldCharType="separate"/>
    </w:r>
    <w:r>
      <w:rPr>
        <w:rStyle w:val="PageNumber"/>
        <w:rFonts w:ascii="Arial" w:hAnsi="Arial" w:cs="Arial"/>
        <w:b/>
        <w:noProof/>
      </w:rPr>
      <w:t>2</w:t>
    </w:r>
    <w:r w:rsidRPr="00E749CF">
      <w:rPr>
        <w:rStyle w:val="PageNumber"/>
        <w:rFonts w:ascii="Arial" w:hAnsi="Arial" w:cs="Arial"/>
        <w:b/>
      </w:rPr>
      <w:fldChar w:fldCharType="end"/>
    </w:r>
  </w:p>
  <w:p w:rsidR="00AD4978" w:rsidRDefault="0056507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64" w:rsidRPr="005D14FD" w:rsidRDefault="00A328E5" w:rsidP="005D14FD">
    <w:pPr>
      <w:pStyle w:val="Header"/>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-292735</wp:posOffset>
          </wp:positionH>
          <wp:positionV relativeFrom="paragraph">
            <wp:posOffset>-415290</wp:posOffset>
          </wp:positionV>
          <wp:extent cx="3053080" cy="767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l="12790" t="27838" r="12308" b="27890"/>
                  <a:stretch>
                    <a:fillRect/>
                  </a:stretch>
                </pic:blipFill>
                <pic:spPr bwMode="auto">
                  <a:xfrm>
                    <a:off x="0" y="0"/>
                    <a:ext cx="305308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5"/>
    <w:rsid w:val="002277C0"/>
    <w:rsid w:val="0056507F"/>
    <w:rsid w:val="00840359"/>
    <w:rsid w:val="008507D2"/>
    <w:rsid w:val="00861578"/>
    <w:rsid w:val="00A328E5"/>
    <w:rsid w:val="00A5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2F8A4912"/>
  <w15:chartTrackingRefBased/>
  <w15:docId w15:val="{83679166-0F2E-4D39-98B5-3CC77CA9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E5"/>
    <w:pPr>
      <w:overflowPunct w:val="0"/>
      <w:autoSpaceDE w:val="0"/>
      <w:autoSpaceDN w:val="0"/>
      <w:adjustRightInd w:val="0"/>
      <w:spacing w:after="0" w:line="240" w:lineRule="auto"/>
      <w:textAlignment w:val="baseline"/>
    </w:pPr>
    <w:rPr>
      <w:rFonts w:ascii="CG Omega" w:eastAsia="Times New Roman" w:hAnsi="CG Omeg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28E5"/>
    <w:pPr>
      <w:tabs>
        <w:tab w:val="center" w:pos="4153"/>
        <w:tab w:val="right" w:pos="8306"/>
      </w:tabs>
    </w:pPr>
  </w:style>
  <w:style w:type="character" w:customStyle="1" w:styleId="FooterChar">
    <w:name w:val="Footer Char"/>
    <w:basedOn w:val="DefaultParagraphFont"/>
    <w:link w:val="Footer"/>
    <w:rsid w:val="00A328E5"/>
    <w:rPr>
      <w:rFonts w:ascii="CG Omega" w:eastAsia="Times New Roman" w:hAnsi="CG Omega" w:cs="Times New Roman"/>
    </w:rPr>
  </w:style>
  <w:style w:type="character" w:styleId="PageNumber">
    <w:name w:val="page number"/>
    <w:basedOn w:val="DefaultParagraphFont"/>
    <w:rsid w:val="00A328E5"/>
  </w:style>
  <w:style w:type="paragraph" w:styleId="Title">
    <w:name w:val="Title"/>
    <w:basedOn w:val="Normal"/>
    <w:link w:val="TitleChar"/>
    <w:qFormat/>
    <w:rsid w:val="00A328E5"/>
    <w:pPr>
      <w:tabs>
        <w:tab w:val="center" w:pos="4512"/>
      </w:tabs>
      <w:jc w:val="center"/>
    </w:pPr>
    <w:rPr>
      <w:rFonts w:ascii="Arial Narrow" w:hAnsi="Arial Narrow"/>
      <w:b/>
      <w:sz w:val="28"/>
    </w:rPr>
  </w:style>
  <w:style w:type="character" w:customStyle="1" w:styleId="TitleChar">
    <w:name w:val="Title Char"/>
    <w:basedOn w:val="DefaultParagraphFont"/>
    <w:link w:val="Title"/>
    <w:rsid w:val="00A328E5"/>
    <w:rPr>
      <w:rFonts w:ascii="Arial Narrow" w:eastAsia="Times New Roman" w:hAnsi="Arial Narrow" w:cs="Times New Roman"/>
      <w:b/>
      <w:sz w:val="28"/>
    </w:rPr>
  </w:style>
  <w:style w:type="paragraph" w:styleId="Header">
    <w:name w:val="header"/>
    <w:basedOn w:val="Normal"/>
    <w:link w:val="HeaderChar"/>
    <w:rsid w:val="00A328E5"/>
    <w:pPr>
      <w:tabs>
        <w:tab w:val="center" w:pos="4320"/>
        <w:tab w:val="right" w:pos="8640"/>
      </w:tabs>
    </w:pPr>
  </w:style>
  <w:style w:type="character" w:customStyle="1" w:styleId="HeaderChar">
    <w:name w:val="Header Char"/>
    <w:basedOn w:val="DefaultParagraphFont"/>
    <w:link w:val="Header"/>
    <w:rsid w:val="00A328E5"/>
    <w:rPr>
      <w:rFonts w:ascii="CG Omega" w:eastAsia="Times New Roman" w:hAnsi="CG Omega" w:cs="Times New Roman"/>
    </w:rPr>
  </w:style>
  <w:style w:type="paragraph" w:styleId="BodyText">
    <w:name w:val="Body Text"/>
    <w:basedOn w:val="Normal"/>
    <w:link w:val="BodyTextChar"/>
    <w:rsid w:val="00A328E5"/>
    <w:pPr>
      <w:jc w:val="center"/>
    </w:pPr>
    <w:rPr>
      <w:b/>
      <w:bCs/>
    </w:rPr>
  </w:style>
  <w:style w:type="character" w:customStyle="1" w:styleId="BodyTextChar">
    <w:name w:val="Body Text Char"/>
    <w:basedOn w:val="DefaultParagraphFont"/>
    <w:link w:val="BodyText"/>
    <w:rsid w:val="00A328E5"/>
    <w:rPr>
      <w:rFonts w:ascii="CG Omega" w:eastAsia="Times New Roman" w:hAnsi="CG Omega" w:cs="Times New Roman"/>
      <w:b/>
      <w:bCs/>
    </w:rPr>
  </w:style>
  <w:style w:type="paragraph" w:styleId="BodyTextIndent">
    <w:name w:val="Body Text Indent"/>
    <w:basedOn w:val="Normal"/>
    <w:link w:val="BodyTextIndentChar"/>
    <w:rsid w:val="00A328E5"/>
    <w:pPr>
      <w:ind w:left="2880"/>
    </w:pPr>
    <w:rPr>
      <w:b/>
      <w:i/>
      <w:iCs/>
      <w:sz w:val="28"/>
    </w:rPr>
  </w:style>
  <w:style w:type="character" w:customStyle="1" w:styleId="BodyTextIndentChar">
    <w:name w:val="Body Text Indent Char"/>
    <w:basedOn w:val="DefaultParagraphFont"/>
    <w:link w:val="BodyTextIndent"/>
    <w:rsid w:val="00A328E5"/>
    <w:rPr>
      <w:rFonts w:ascii="CG Omega" w:eastAsia="Times New Roman" w:hAnsi="CG Omega" w:cs="Times New Roman"/>
      <w:b/>
      <w:i/>
      <w:iCs/>
      <w:sz w:val="28"/>
    </w:rPr>
  </w:style>
  <w:style w:type="paragraph" w:styleId="BalloonText">
    <w:name w:val="Balloon Text"/>
    <w:basedOn w:val="Normal"/>
    <w:link w:val="BalloonTextChar"/>
    <w:uiPriority w:val="99"/>
    <w:semiHidden/>
    <w:unhideWhenUsed/>
    <w:rsid w:val="00850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Banjoko, Jumy</cp:lastModifiedBy>
  <cp:revision>6</cp:revision>
  <cp:lastPrinted>2018-07-04T12:02:00Z</cp:lastPrinted>
  <dcterms:created xsi:type="dcterms:W3CDTF">2018-07-04T11:51:00Z</dcterms:created>
  <dcterms:modified xsi:type="dcterms:W3CDTF">2018-07-04T12:20:00Z</dcterms:modified>
</cp:coreProperties>
</file>