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AAC" w:rsidRDefault="00427AAC" w:rsidP="00427AAC">
      <w:pPr>
        <w:rPr>
          <w:rFonts w:ascii="Trebuchet MS" w:hAnsi="Trebuchet MS"/>
        </w:rPr>
      </w:pPr>
    </w:p>
    <w:p w:rsidR="002E6E69" w:rsidRDefault="002E6E69" w:rsidP="00427AAC">
      <w:pPr>
        <w:jc w:val="center"/>
        <w:rPr>
          <w:rFonts w:ascii="Trebuchet MS" w:hAnsi="Trebuchet MS"/>
          <w:b/>
        </w:rPr>
      </w:pPr>
    </w:p>
    <w:p w:rsidR="00427AAC" w:rsidRPr="00427AAC" w:rsidRDefault="00427AAC" w:rsidP="00427AAC">
      <w:pPr>
        <w:jc w:val="center"/>
        <w:rPr>
          <w:rFonts w:ascii="Trebuchet MS" w:hAnsi="Trebuchet MS"/>
          <w:b/>
        </w:rPr>
      </w:pPr>
      <w:r w:rsidRPr="00427AAC">
        <w:rPr>
          <w:rFonts w:ascii="Trebuchet MS" w:hAnsi="Trebuchet MS"/>
          <w:b/>
        </w:rPr>
        <w:t>Terms of Reference</w:t>
      </w:r>
    </w:p>
    <w:p w:rsidR="00427AAC" w:rsidRDefault="00427AAC" w:rsidP="00427AAC">
      <w:pPr>
        <w:rPr>
          <w:rFonts w:ascii="Trebuchet MS" w:hAnsi="Trebuchet MS"/>
        </w:rPr>
      </w:pPr>
    </w:p>
    <w:p w:rsidR="00427AAC" w:rsidRPr="00427AAC" w:rsidRDefault="00427AAC" w:rsidP="00427AAC">
      <w:pPr>
        <w:rPr>
          <w:rFonts w:ascii="Trebuchet MS" w:hAnsi="Trebuchet MS"/>
        </w:rPr>
      </w:pPr>
      <w:r w:rsidRPr="00427AAC">
        <w:rPr>
          <w:rFonts w:ascii="Trebuchet MS" w:hAnsi="Trebuchet MS"/>
          <w:b/>
        </w:rPr>
        <w:t>Title:</w:t>
      </w:r>
      <w:r w:rsidRPr="00427AAC">
        <w:rPr>
          <w:rFonts w:ascii="Trebuchet MS" w:hAnsi="Trebuchet MS"/>
        </w:rPr>
        <w:t xml:space="preserve"> </w:t>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t>Firearms legislation</w:t>
      </w:r>
      <w:r w:rsidR="003238AB">
        <w:rPr>
          <w:rFonts w:ascii="Trebuchet MS" w:hAnsi="Trebuchet MS"/>
        </w:rPr>
        <w:t xml:space="preserve"> Consultant </w:t>
      </w:r>
    </w:p>
    <w:p w:rsidR="00427AAC" w:rsidRPr="00427AAC" w:rsidRDefault="00427AAC" w:rsidP="00427AAC">
      <w:pPr>
        <w:ind w:left="3600" w:hanging="3600"/>
        <w:rPr>
          <w:rFonts w:ascii="Trebuchet MS" w:hAnsi="Trebuchet MS"/>
        </w:rPr>
      </w:pPr>
      <w:r w:rsidRPr="00427AAC">
        <w:rPr>
          <w:rFonts w:ascii="Trebuchet MS" w:hAnsi="Trebuchet MS"/>
          <w:b/>
        </w:rPr>
        <w:t>Organizational Section/Unit:</w:t>
      </w:r>
      <w:r>
        <w:rPr>
          <w:rFonts w:ascii="Trebuchet MS" w:hAnsi="Trebuchet MS"/>
        </w:rPr>
        <w:tab/>
      </w:r>
      <w:r w:rsidRPr="00427AAC">
        <w:rPr>
          <w:rFonts w:ascii="Trebuchet MS" w:hAnsi="Trebuchet MS"/>
        </w:rPr>
        <w:t>Office of Ci</w:t>
      </w:r>
      <w:r>
        <w:rPr>
          <w:rFonts w:ascii="Trebuchet MS" w:hAnsi="Trebuchet MS"/>
        </w:rPr>
        <w:t xml:space="preserve">vil and Criminal Justice Reform </w:t>
      </w:r>
      <w:r w:rsidRPr="00427AAC">
        <w:rPr>
          <w:rFonts w:ascii="Trebuchet MS" w:hAnsi="Trebuchet MS"/>
        </w:rPr>
        <w:t>Commonwealth Secretariat</w:t>
      </w:r>
    </w:p>
    <w:p w:rsidR="00427AAC" w:rsidRPr="00427AAC" w:rsidRDefault="00427AAC" w:rsidP="00427AAC">
      <w:pPr>
        <w:rPr>
          <w:rFonts w:ascii="Trebuchet MS" w:hAnsi="Trebuchet MS"/>
        </w:rPr>
      </w:pPr>
      <w:r w:rsidRPr="00427AAC">
        <w:rPr>
          <w:rFonts w:ascii="Trebuchet MS" w:hAnsi="Trebuchet MS"/>
          <w:b/>
        </w:rPr>
        <w:t>Duty Station:</w:t>
      </w:r>
      <w:r w:rsidRPr="00427AAC">
        <w:rPr>
          <w:rFonts w:ascii="Trebuchet MS" w:hAnsi="Trebuchet MS"/>
        </w:rPr>
        <w:t xml:space="preserve"> </w:t>
      </w:r>
      <w:r>
        <w:rPr>
          <w:rFonts w:ascii="Trebuchet MS" w:hAnsi="Trebuchet MS"/>
        </w:rPr>
        <w:tab/>
      </w:r>
      <w:r>
        <w:rPr>
          <w:rFonts w:ascii="Trebuchet MS" w:hAnsi="Trebuchet MS"/>
        </w:rPr>
        <w:tab/>
      </w:r>
      <w:r>
        <w:rPr>
          <w:rFonts w:ascii="Trebuchet MS" w:hAnsi="Trebuchet MS"/>
        </w:rPr>
        <w:tab/>
      </w:r>
      <w:r>
        <w:rPr>
          <w:rFonts w:ascii="Trebuchet MS" w:hAnsi="Trebuchet MS"/>
        </w:rPr>
        <w:tab/>
      </w:r>
      <w:r w:rsidRPr="00427AAC">
        <w:rPr>
          <w:rFonts w:ascii="Trebuchet MS" w:hAnsi="Trebuchet MS"/>
        </w:rPr>
        <w:t>Home based</w:t>
      </w:r>
    </w:p>
    <w:p w:rsidR="00427AAC" w:rsidRPr="00427AAC" w:rsidRDefault="00427AAC" w:rsidP="00427AAC">
      <w:pPr>
        <w:rPr>
          <w:rFonts w:ascii="Trebuchet MS" w:hAnsi="Trebuchet MS"/>
        </w:rPr>
      </w:pPr>
      <w:r w:rsidRPr="00427AAC">
        <w:rPr>
          <w:rFonts w:ascii="Trebuchet MS" w:hAnsi="Trebuchet MS"/>
          <w:b/>
        </w:rPr>
        <w:t>Proposed period:</w:t>
      </w:r>
      <w:r w:rsidRPr="00427AAC">
        <w:rPr>
          <w:rFonts w:ascii="Trebuchet MS" w:hAnsi="Trebuchet MS"/>
        </w:rPr>
        <w:t xml:space="preserve"> </w:t>
      </w:r>
      <w:r w:rsidR="00BB22DA">
        <w:rPr>
          <w:rFonts w:ascii="Trebuchet MS" w:hAnsi="Trebuchet MS"/>
        </w:rPr>
        <w:tab/>
      </w:r>
      <w:r w:rsidR="00BB22DA">
        <w:rPr>
          <w:rFonts w:ascii="Trebuchet MS" w:hAnsi="Trebuchet MS"/>
        </w:rPr>
        <w:tab/>
      </w:r>
      <w:r w:rsidR="00BB22DA">
        <w:rPr>
          <w:rFonts w:ascii="Trebuchet MS" w:hAnsi="Trebuchet MS"/>
        </w:rPr>
        <w:tab/>
      </w:r>
      <w:bookmarkStart w:id="0" w:name="_GoBack"/>
      <w:bookmarkEnd w:id="0"/>
      <w:r w:rsidR="007F4ED6">
        <w:rPr>
          <w:rFonts w:ascii="Trebuchet MS" w:hAnsi="Trebuchet MS"/>
        </w:rPr>
        <w:t>November</w:t>
      </w:r>
      <w:r>
        <w:rPr>
          <w:rFonts w:ascii="Trebuchet MS" w:hAnsi="Trebuchet MS"/>
        </w:rPr>
        <w:t xml:space="preserve"> 2018 – </w:t>
      </w:r>
      <w:r w:rsidR="00327FA8">
        <w:rPr>
          <w:rFonts w:ascii="Trebuchet MS" w:hAnsi="Trebuchet MS"/>
        </w:rPr>
        <w:t>30 March</w:t>
      </w:r>
      <w:r w:rsidRPr="00427AAC">
        <w:rPr>
          <w:rFonts w:ascii="Trebuchet MS" w:hAnsi="Trebuchet MS"/>
        </w:rPr>
        <w:t xml:space="preserve"> 201</w:t>
      </w:r>
      <w:r w:rsidR="007F4ED6">
        <w:rPr>
          <w:rFonts w:ascii="Trebuchet MS" w:hAnsi="Trebuchet MS"/>
        </w:rPr>
        <w:t>9</w:t>
      </w:r>
    </w:p>
    <w:p w:rsidR="00427AAC" w:rsidRDefault="00427AAC" w:rsidP="00427AAC">
      <w:pPr>
        <w:rPr>
          <w:rFonts w:ascii="Trebuchet MS" w:hAnsi="Trebuchet MS"/>
        </w:rPr>
      </w:pPr>
    </w:p>
    <w:p w:rsidR="00427AAC" w:rsidRPr="00427AAC" w:rsidRDefault="00427AAC" w:rsidP="00427AAC">
      <w:pPr>
        <w:rPr>
          <w:rFonts w:ascii="Trebuchet MS" w:hAnsi="Trebuchet MS"/>
          <w:b/>
        </w:rPr>
      </w:pPr>
      <w:r w:rsidRPr="00427AAC">
        <w:rPr>
          <w:rFonts w:ascii="Trebuchet MS" w:hAnsi="Trebuchet MS"/>
          <w:b/>
        </w:rPr>
        <w:t>1. Background:</w:t>
      </w:r>
    </w:p>
    <w:p w:rsidR="00427AAC" w:rsidRPr="00427AAC" w:rsidRDefault="00427AAC" w:rsidP="00427AAC">
      <w:pPr>
        <w:rPr>
          <w:rFonts w:ascii="Trebuchet MS" w:hAnsi="Trebuchet MS"/>
        </w:rPr>
      </w:pPr>
      <w:r w:rsidRPr="00427AAC">
        <w:rPr>
          <w:rFonts w:ascii="Trebuchet MS" w:hAnsi="Trebuchet MS"/>
        </w:rPr>
        <w:t>The Commonwealth is a voluntary association of 53 countries with a combined population of 2.2</w:t>
      </w:r>
      <w:r>
        <w:rPr>
          <w:rFonts w:ascii="Trebuchet MS" w:hAnsi="Trebuchet MS"/>
        </w:rPr>
        <w:t xml:space="preserve"> </w:t>
      </w:r>
      <w:r w:rsidRPr="00427AAC">
        <w:rPr>
          <w:rFonts w:ascii="Trebuchet MS" w:hAnsi="Trebuchet MS"/>
        </w:rPr>
        <w:t>billion. Thirty-one Commonwealth members are small states, usually with a population under 1.5</w:t>
      </w:r>
      <w:r>
        <w:rPr>
          <w:rFonts w:ascii="Trebuchet MS" w:hAnsi="Trebuchet MS"/>
        </w:rPr>
        <w:t xml:space="preserve"> </w:t>
      </w:r>
      <w:r w:rsidRPr="00427AAC">
        <w:rPr>
          <w:rFonts w:ascii="Trebuchet MS" w:hAnsi="Trebuchet MS"/>
        </w:rPr>
        <w:t>million, and 25 members are small island developing states.</w:t>
      </w:r>
    </w:p>
    <w:p w:rsidR="00427AAC" w:rsidRPr="00427AAC" w:rsidRDefault="00427AAC" w:rsidP="00427AAC">
      <w:pPr>
        <w:rPr>
          <w:rFonts w:ascii="Trebuchet MS" w:hAnsi="Trebuchet MS"/>
        </w:rPr>
      </w:pPr>
      <w:r w:rsidRPr="00427AAC">
        <w:rPr>
          <w:rFonts w:ascii="Trebuchet MS" w:hAnsi="Trebuchet MS"/>
        </w:rPr>
        <w:t>Article VII of the Commonwealth Charter recognises the rule of law as an essential protection for the</w:t>
      </w:r>
      <w:r>
        <w:rPr>
          <w:rFonts w:ascii="Trebuchet MS" w:hAnsi="Trebuchet MS"/>
        </w:rPr>
        <w:t xml:space="preserve"> </w:t>
      </w:r>
      <w:r w:rsidRPr="00427AAC">
        <w:rPr>
          <w:rFonts w:ascii="Trebuchet MS" w:hAnsi="Trebuchet MS"/>
        </w:rPr>
        <w:t>people of the Commonwealth. The Commo</w:t>
      </w:r>
      <w:r w:rsidR="0085403C">
        <w:rPr>
          <w:rFonts w:ascii="Trebuchet MS" w:hAnsi="Trebuchet MS"/>
        </w:rPr>
        <w:t>nw</w:t>
      </w:r>
      <w:r w:rsidRPr="00427AAC">
        <w:rPr>
          <w:rFonts w:ascii="Trebuchet MS" w:hAnsi="Trebuchet MS"/>
        </w:rPr>
        <w:t>ealth Strategic Plan 2017/18 – 2020/21 includes ‘rule of</w:t>
      </w:r>
      <w:r>
        <w:rPr>
          <w:rFonts w:ascii="Trebuchet MS" w:hAnsi="Trebuchet MS"/>
        </w:rPr>
        <w:t xml:space="preserve"> </w:t>
      </w:r>
      <w:r w:rsidRPr="00427AAC">
        <w:rPr>
          <w:rFonts w:ascii="Trebuchet MS" w:hAnsi="Trebuchet MS"/>
        </w:rPr>
        <w:t>law strengthened and access to justice ensure for all’ as intermediate outcome 2.2 under the strategic</w:t>
      </w:r>
      <w:r>
        <w:rPr>
          <w:rFonts w:ascii="Trebuchet MS" w:hAnsi="Trebuchet MS"/>
        </w:rPr>
        <w:t xml:space="preserve"> </w:t>
      </w:r>
      <w:r w:rsidRPr="00427AAC">
        <w:rPr>
          <w:rFonts w:ascii="Trebuchet MS" w:hAnsi="Trebuchet MS"/>
        </w:rPr>
        <w:t>outcome of ‘more effective, efficient and equitable public governance’.</w:t>
      </w:r>
    </w:p>
    <w:p w:rsidR="005E5B4A" w:rsidRDefault="0085403C" w:rsidP="00C22360">
      <w:pPr>
        <w:rPr>
          <w:rFonts w:ascii="Trebuchet MS" w:hAnsi="Trebuchet MS"/>
        </w:rPr>
      </w:pPr>
      <w:r>
        <w:rPr>
          <w:rFonts w:ascii="Trebuchet MS" w:hAnsi="Trebuchet MS"/>
        </w:rPr>
        <w:t xml:space="preserve">At their meeting in April 2018, the Commonwealth Heads of Government </w:t>
      </w:r>
      <w:r w:rsidR="005E5B4A">
        <w:rPr>
          <w:rFonts w:ascii="Trebuchet MS" w:hAnsi="Trebuchet MS"/>
        </w:rPr>
        <w:t>‘</w:t>
      </w:r>
      <w:r w:rsidR="005E5B4A" w:rsidRPr="005E5B4A">
        <w:rPr>
          <w:rFonts w:ascii="Trebuchet MS" w:hAnsi="Trebuchet MS"/>
        </w:rPr>
        <w:t>denounced the illicit trade in small arms and light weapons which has</w:t>
      </w:r>
      <w:r w:rsidR="005E5B4A">
        <w:rPr>
          <w:rFonts w:ascii="Trebuchet MS" w:hAnsi="Trebuchet MS"/>
        </w:rPr>
        <w:t xml:space="preserve"> </w:t>
      </w:r>
      <w:r w:rsidR="005E5B4A" w:rsidRPr="005E5B4A">
        <w:rPr>
          <w:rFonts w:ascii="Trebuchet MS" w:hAnsi="Trebuchet MS"/>
        </w:rPr>
        <w:t>devastating consequences in member countries.</w:t>
      </w:r>
      <w:r w:rsidR="005E5B4A">
        <w:rPr>
          <w:rFonts w:ascii="Trebuchet MS" w:hAnsi="Trebuchet MS"/>
        </w:rPr>
        <w:t xml:space="preserve">’ (Commonwealth Heads </w:t>
      </w:r>
      <w:r w:rsidR="00501028">
        <w:rPr>
          <w:rFonts w:ascii="Trebuchet MS" w:hAnsi="Trebuchet MS"/>
        </w:rPr>
        <w:t>of Government Meeting Communiqué</w:t>
      </w:r>
      <w:r w:rsidR="005E5B4A">
        <w:rPr>
          <w:rFonts w:ascii="Trebuchet MS" w:hAnsi="Trebuchet MS"/>
        </w:rPr>
        <w:t>). Heads of Government encouraged member countries who wished to do so to become parties to international instruments such as the Arms Trade Treaty and the United Nations Firearms Protocol</w:t>
      </w:r>
      <w:r w:rsidR="005E5B4A" w:rsidRPr="005E5B4A">
        <w:rPr>
          <w:rFonts w:ascii="Trebuchet MS" w:hAnsi="Trebuchet MS"/>
        </w:rPr>
        <w:t>.</w:t>
      </w:r>
      <w:r w:rsidR="005E5B4A">
        <w:rPr>
          <w:rFonts w:ascii="Trebuchet MS" w:hAnsi="Trebuchet MS"/>
        </w:rPr>
        <w:t xml:space="preserve"> They also agreed to strengthen their cooperation in combating the illicit proliferation of </w:t>
      </w:r>
      <w:r w:rsidR="005E5B4A" w:rsidRPr="005E5B4A">
        <w:rPr>
          <w:rFonts w:ascii="Trebuchet MS" w:hAnsi="Trebuchet MS"/>
        </w:rPr>
        <w:t>small arms and light weapons</w:t>
      </w:r>
      <w:r w:rsidR="00A42DBB">
        <w:rPr>
          <w:rFonts w:ascii="Trebuchet MS" w:hAnsi="Trebuchet MS"/>
        </w:rPr>
        <w:t xml:space="preserve"> (SALW)</w:t>
      </w:r>
      <w:r w:rsidR="005E5B4A">
        <w:rPr>
          <w:rFonts w:ascii="Trebuchet MS" w:hAnsi="Trebuchet MS"/>
        </w:rPr>
        <w:t>.</w:t>
      </w:r>
    </w:p>
    <w:p w:rsidR="00C22360" w:rsidRPr="00C22360" w:rsidRDefault="00C22360" w:rsidP="00C22360">
      <w:pPr>
        <w:rPr>
          <w:rFonts w:ascii="Trebuchet MS" w:hAnsi="Trebuchet MS"/>
        </w:rPr>
      </w:pPr>
      <w:r w:rsidRPr="00C22360">
        <w:rPr>
          <w:rFonts w:ascii="Trebuchet MS" w:hAnsi="Trebuchet MS"/>
        </w:rPr>
        <w:t>Minimising the risk of SALW diversion, including through theft, loss and unauthorised re-export, to illicit markets, illegal armed groups, terrorists and other unauthorised recipients contributes to the reduction of violence. For this reason, implementing arms control instruments provide tangible benefits for sustainable development, peace and security and will be instrumental in the achievement of Sustainable Development Goal Target 16.4, by which states undertake to significantly reduce illicit arms flows by 2030.</w:t>
      </w:r>
    </w:p>
    <w:p w:rsidR="00465DE0" w:rsidRPr="00465DE0" w:rsidRDefault="00465DE0" w:rsidP="00465DE0">
      <w:pPr>
        <w:rPr>
          <w:rFonts w:ascii="Trebuchet MS" w:hAnsi="Trebuchet MS"/>
        </w:rPr>
      </w:pPr>
      <w:r w:rsidRPr="00465DE0">
        <w:rPr>
          <w:rFonts w:ascii="Trebuchet MS" w:hAnsi="Trebuchet MS"/>
        </w:rPr>
        <w:t xml:space="preserve">To tackle the illicit trade in conventional weapons, the Commonwealth Secretariat and the Small Arms Survey have partnered, with the support of the United Kingdom’s Foreign and Commonwealth Office (FCO), to launch the Conventional Arms Control in the Commonwealth Initiative. This new initiative will provide unique tools to strengthen cooperation, coordination and information-sharing between Commonwealth member countries to support national and regional implementation of measures to tackle the illicit arms trade, in line with international obligations and standards.  </w:t>
      </w:r>
    </w:p>
    <w:p w:rsidR="00465DE0" w:rsidRPr="00465DE0" w:rsidRDefault="00465DE0" w:rsidP="00465DE0">
      <w:pPr>
        <w:rPr>
          <w:rFonts w:ascii="Trebuchet MS" w:hAnsi="Trebuchet MS"/>
        </w:rPr>
      </w:pPr>
      <w:r w:rsidRPr="00465DE0">
        <w:rPr>
          <w:rFonts w:ascii="Trebuchet MS" w:hAnsi="Trebuchet MS"/>
        </w:rPr>
        <w:t>The Conventional Arms Control in the Commonwealth Initiative will support</w:t>
      </w:r>
      <w:r w:rsidR="00A42DBB">
        <w:rPr>
          <w:rFonts w:ascii="Trebuchet MS" w:hAnsi="Trebuchet MS"/>
        </w:rPr>
        <w:t xml:space="preserve"> C</w:t>
      </w:r>
      <w:r w:rsidRPr="00465DE0">
        <w:rPr>
          <w:rFonts w:ascii="Trebuchet MS" w:hAnsi="Trebuchet MS"/>
        </w:rPr>
        <w:t xml:space="preserve">ommonwealth countries by: </w:t>
      </w:r>
    </w:p>
    <w:p w:rsidR="00465DE0" w:rsidRPr="00877A42" w:rsidRDefault="00465DE0" w:rsidP="00877A42">
      <w:pPr>
        <w:pStyle w:val="ListParagraph"/>
        <w:numPr>
          <w:ilvl w:val="0"/>
          <w:numId w:val="2"/>
        </w:numPr>
        <w:rPr>
          <w:rFonts w:ascii="Trebuchet MS" w:hAnsi="Trebuchet MS"/>
        </w:rPr>
      </w:pPr>
      <w:r w:rsidRPr="00877A42">
        <w:rPr>
          <w:rFonts w:ascii="Trebuchet MS" w:hAnsi="Trebuchet MS"/>
        </w:rPr>
        <w:lastRenderedPageBreak/>
        <w:t>Providing a platform to facilitate the exchange of knowledge and expertise, building on the work of the Office of Civil and Criminal Justice Reform and its Legal Knowledge Portal;</w:t>
      </w:r>
    </w:p>
    <w:p w:rsidR="00465DE0" w:rsidRPr="00877A42" w:rsidRDefault="00465DE0" w:rsidP="00877A42">
      <w:pPr>
        <w:pStyle w:val="ListParagraph"/>
        <w:numPr>
          <w:ilvl w:val="0"/>
          <w:numId w:val="2"/>
        </w:numPr>
        <w:rPr>
          <w:rFonts w:ascii="Trebuchet MS" w:hAnsi="Trebuchet MS"/>
        </w:rPr>
      </w:pPr>
      <w:r w:rsidRPr="00877A42">
        <w:rPr>
          <w:rFonts w:ascii="Trebuchet MS" w:hAnsi="Trebuchet MS"/>
        </w:rPr>
        <w:t>Increasing understanding of challenges in addressing the illicit arms trade.</w:t>
      </w:r>
    </w:p>
    <w:p w:rsidR="00465DE0" w:rsidRPr="00877A42" w:rsidRDefault="00465DE0" w:rsidP="00877A42">
      <w:pPr>
        <w:pStyle w:val="ListParagraph"/>
        <w:numPr>
          <w:ilvl w:val="0"/>
          <w:numId w:val="2"/>
        </w:numPr>
        <w:rPr>
          <w:rFonts w:ascii="Trebuchet MS" w:hAnsi="Trebuchet MS"/>
        </w:rPr>
      </w:pPr>
      <w:r w:rsidRPr="00877A42">
        <w:rPr>
          <w:rFonts w:ascii="Trebuchet MS" w:hAnsi="Trebuchet MS"/>
        </w:rPr>
        <w:t>Taking stock of progress achieved in implementing international and regional arms control instruments.</w:t>
      </w:r>
    </w:p>
    <w:p w:rsidR="00465DE0" w:rsidRPr="00877A42" w:rsidRDefault="00465DE0" w:rsidP="00877A42">
      <w:pPr>
        <w:pStyle w:val="ListParagraph"/>
        <w:numPr>
          <w:ilvl w:val="0"/>
          <w:numId w:val="2"/>
        </w:numPr>
        <w:rPr>
          <w:rFonts w:ascii="Trebuchet MS" w:hAnsi="Trebuchet MS"/>
        </w:rPr>
      </w:pPr>
      <w:r w:rsidRPr="00877A42">
        <w:rPr>
          <w:rFonts w:ascii="Trebuchet MS" w:hAnsi="Trebuchet MS"/>
        </w:rPr>
        <w:t>Building consensus on priority areas for cooperation and assistance within the Commonwealth.</w:t>
      </w:r>
    </w:p>
    <w:p w:rsidR="00465DE0" w:rsidRPr="00877A42" w:rsidRDefault="00465DE0" w:rsidP="00877A42">
      <w:pPr>
        <w:pStyle w:val="ListParagraph"/>
        <w:numPr>
          <w:ilvl w:val="0"/>
          <w:numId w:val="2"/>
        </w:numPr>
        <w:rPr>
          <w:rFonts w:ascii="Trebuchet MS" w:hAnsi="Trebuchet MS"/>
        </w:rPr>
      </w:pPr>
      <w:r w:rsidRPr="00877A42">
        <w:rPr>
          <w:rFonts w:ascii="Trebuchet MS" w:hAnsi="Trebuchet MS"/>
        </w:rPr>
        <w:t>Providing assistance on legal reform and legislative drafting.</w:t>
      </w:r>
    </w:p>
    <w:p w:rsidR="00F73527" w:rsidRDefault="00F273C6" w:rsidP="00465DE0">
      <w:pPr>
        <w:rPr>
          <w:rFonts w:ascii="Trebuchet MS" w:hAnsi="Trebuchet MS"/>
        </w:rPr>
      </w:pPr>
      <w:r>
        <w:rPr>
          <w:rFonts w:ascii="Trebuchet MS" w:hAnsi="Trebuchet MS"/>
        </w:rPr>
        <w:t>M</w:t>
      </w:r>
      <w:r w:rsidR="00C22360" w:rsidRPr="00C22360">
        <w:rPr>
          <w:rFonts w:ascii="Trebuchet MS" w:hAnsi="Trebuchet MS"/>
        </w:rPr>
        <w:t xml:space="preserve">any countries in the Commonwealth lack </w:t>
      </w:r>
      <w:r w:rsidR="00A42DBB">
        <w:rPr>
          <w:rFonts w:ascii="Trebuchet MS" w:hAnsi="Trebuchet MS"/>
        </w:rPr>
        <w:t>capacity to implement international instruments</w:t>
      </w:r>
      <w:r w:rsidR="00465DE0">
        <w:rPr>
          <w:rFonts w:ascii="Trebuchet MS" w:hAnsi="Trebuchet MS"/>
        </w:rPr>
        <w:t>.</w:t>
      </w:r>
      <w:r w:rsidR="00A42DBB">
        <w:rPr>
          <w:rFonts w:ascii="Trebuchet MS" w:hAnsi="Trebuchet MS"/>
        </w:rPr>
        <w:t xml:space="preserve"> In the context of the illicit arms trade, meeting international obligations and effectively addressing the issue means a revision of a number of domestic laws, including firearms Acts.  </w:t>
      </w:r>
    </w:p>
    <w:p w:rsidR="00A42E7B" w:rsidRDefault="00A42E7B" w:rsidP="00465DE0">
      <w:pPr>
        <w:rPr>
          <w:rFonts w:ascii="Trebuchet MS" w:hAnsi="Trebuchet MS"/>
        </w:rPr>
      </w:pPr>
    </w:p>
    <w:p w:rsidR="00427AAC" w:rsidRPr="004C64E5" w:rsidRDefault="00427AAC" w:rsidP="00C22360">
      <w:pPr>
        <w:rPr>
          <w:rFonts w:ascii="Trebuchet MS" w:hAnsi="Trebuchet MS"/>
          <w:b/>
        </w:rPr>
      </w:pPr>
      <w:r w:rsidRPr="004C64E5">
        <w:rPr>
          <w:rFonts w:ascii="Trebuchet MS" w:hAnsi="Trebuchet MS"/>
          <w:b/>
        </w:rPr>
        <w:t>2. Purpose of the assignment:</w:t>
      </w:r>
    </w:p>
    <w:p w:rsidR="00F1301C" w:rsidRDefault="00F1301C" w:rsidP="00F1301C">
      <w:pPr>
        <w:rPr>
          <w:rFonts w:ascii="Trebuchet MS" w:hAnsi="Trebuchet MS"/>
        </w:rPr>
      </w:pPr>
      <w:r w:rsidRPr="00F1301C">
        <w:rPr>
          <w:rFonts w:ascii="Trebuchet MS" w:hAnsi="Trebuchet MS"/>
        </w:rPr>
        <w:t>The purpose of the assignment is to prepare a Guide</w:t>
      </w:r>
      <w:r>
        <w:rPr>
          <w:rFonts w:ascii="Trebuchet MS" w:hAnsi="Trebuchet MS"/>
        </w:rPr>
        <w:t xml:space="preserve"> to the reform of firearms legislation in the Commonwealth</w:t>
      </w:r>
      <w:r w:rsidRPr="00F1301C">
        <w:rPr>
          <w:rFonts w:ascii="Trebuchet MS" w:hAnsi="Trebuchet MS"/>
        </w:rPr>
        <w:t xml:space="preserve">. The Guide is intended to act as a practical resource for member countries regarding the process </w:t>
      </w:r>
      <w:r>
        <w:rPr>
          <w:rFonts w:ascii="Trebuchet MS" w:hAnsi="Trebuchet MS"/>
        </w:rPr>
        <w:t xml:space="preserve">of reviewing domestic legislation to implement international obligations and effectively address the proliferation of small arms and light weapons. As a number of Commonwealth countries have firearms legislation </w:t>
      </w:r>
      <w:r w:rsidR="003B6BBE">
        <w:rPr>
          <w:rFonts w:ascii="Trebuchet MS" w:hAnsi="Trebuchet MS"/>
        </w:rPr>
        <w:t xml:space="preserve">influenced by </w:t>
      </w:r>
      <w:r>
        <w:rPr>
          <w:rFonts w:ascii="Trebuchet MS" w:hAnsi="Trebuchet MS"/>
        </w:rPr>
        <w:t xml:space="preserve">the </w:t>
      </w:r>
      <w:r w:rsidR="003B6BBE" w:rsidRPr="003B6BBE">
        <w:rPr>
          <w:rFonts w:ascii="Trebuchet MS" w:hAnsi="Trebuchet MS"/>
        </w:rPr>
        <w:t>UK Firearms Act 1968</w:t>
      </w:r>
      <w:r w:rsidRPr="003B6BBE">
        <w:rPr>
          <w:rFonts w:ascii="Trebuchet MS" w:hAnsi="Trebuchet MS"/>
        </w:rPr>
        <w:t>,</w:t>
      </w:r>
      <w:r>
        <w:rPr>
          <w:rFonts w:ascii="Trebuchet MS" w:hAnsi="Trebuchet MS"/>
        </w:rPr>
        <w:t xml:space="preserve"> similarities can be drawn and recommendations for reform can be provided on that basis.</w:t>
      </w:r>
      <w:r w:rsidR="00BC152B" w:rsidRPr="00BC152B">
        <w:t xml:space="preserve"> </w:t>
      </w:r>
    </w:p>
    <w:p w:rsidR="00F1301C" w:rsidRPr="00F1301C" w:rsidRDefault="00F1301C" w:rsidP="00F1301C">
      <w:pPr>
        <w:rPr>
          <w:rFonts w:ascii="Trebuchet MS" w:hAnsi="Trebuchet MS"/>
        </w:rPr>
      </w:pPr>
      <w:r w:rsidRPr="00F1301C">
        <w:rPr>
          <w:rFonts w:ascii="Trebuchet MS" w:hAnsi="Trebuchet MS"/>
        </w:rPr>
        <w:t>The Guide will bring together examples of good practice from Commonwealth member countries. In addition to providing guid</w:t>
      </w:r>
      <w:r>
        <w:rPr>
          <w:rFonts w:ascii="Trebuchet MS" w:hAnsi="Trebuchet MS"/>
        </w:rPr>
        <w:t xml:space="preserve">ance on </w:t>
      </w:r>
      <w:r w:rsidR="004C64E5">
        <w:rPr>
          <w:rFonts w:ascii="Trebuchet MS" w:hAnsi="Trebuchet MS"/>
        </w:rPr>
        <w:t>reform</w:t>
      </w:r>
      <w:r w:rsidRPr="00F1301C">
        <w:rPr>
          <w:rFonts w:ascii="Trebuchet MS" w:hAnsi="Trebuchet MS"/>
        </w:rPr>
        <w:t xml:space="preserve">, the Guide will also contain a range of case studies </w:t>
      </w:r>
      <w:r w:rsidR="004C64E5">
        <w:rPr>
          <w:rFonts w:ascii="Trebuchet MS" w:hAnsi="Trebuchet MS"/>
        </w:rPr>
        <w:t>from</w:t>
      </w:r>
      <w:r w:rsidRPr="00F1301C">
        <w:rPr>
          <w:rFonts w:ascii="Trebuchet MS" w:hAnsi="Trebuchet MS"/>
        </w:rPr>
        <w:t xml:space="preserve"> Commonwealth countries in recent years. </w:t>
      </w:r>
      <w:r w:rsidR="004C64E5">
        <w:rPr>
          <w:rFonts w:ascii="Trebuchet MS" w:hAnsi="Trebuchet MS"/>
        </w:rPr>
        <w:t xml:space="preserve">The assignment will include country assessments in three (3) selected Commonwealth countries.  </w:t>
      </w:r>
    </w:p>
    <w:p w:rsidR="00915D6B" w:rsidRDefault="00915D6B" w:rsidP="00915D6B">
      <w:pPr>
        <w:rPr>
          <w:rFonts w:ascii="Trebuchet MS" w:hAnsi="Trebuchet MS"/>
        </w:rPr>
      </w:pPr>
      <w:r w:rsidRPr="00915D6B">
        <w:rPr>
          <w:rFonts w:ascii="Trebuchet MS" w:hAnsi="Trebuchet MS"/>
        </w:rPr>
        <w:t xml:space="preserve">The consultant will act as general editor, author and coordinator of the Guide. The consultant will have overall responsibility for </w:t>
      </w:r>
      <w:r w:rsidR="004C64E5">
        <w:rPr>
          <w:rFonts w:ascii="Trebuchet MS" w:hAnsi="Trebuchet MS"/>
        </w:rPr>
        <w:t xml:space="preserve">conducting country assessments, in collaboration with a Commonwealth Secretariat staff member, </w:t>
      </w:r>
      <w:r w:rsidRPr="00915D6B">
        <w:rPr>
          <w:rFonts w:ascii="Trebuchet MS" w:hAnsi="Trebuchet MS"/>
        </w:rPr>
        <w:t xml:space="preserve">delivering the text of the complete Guide through oversight and editing of the work of contributing </w:t>
      </w:r>
      <w:r w:rsidR="005259B9">
        <w:rPr>
          <w:rFonts w:ascii="Trebuchet MS" w:hAnsi="Trebuchet MS"/>
        </w:rPr>
        <w:t>a</w:t>
      </w:r>
      <w:r w:rsidRPr="00915D6B">
        <w:rPr>
          <w:rFonts w:ascii="Trebuchet MS" w:hAnsi="Trebuchet MS"/>
        </w:rPr>
        <w:t>uthors, appointed as decided upon by the consultant in consultation with the Secretariat.</w:t>
      </w:r>
    </w:p>
    <w:p w:rsidR="00915D6B" w:rsidRPr="00915D6B" w:rsidRDefault="00915D6B" w:rsidP="00915D6B">
      <w:pPr>
        <w:rPr>
          <w:rFonts w:ascii="Trebuchet MS" w:hAnsi="Trebuchet MS"/>
        </w:rPr>
      </w:pPr>
      <w:r w:rsidRPr="00915D6B">
        <w:rPr>
          <w:rFonts w:ascii="Trebuchet MS" w:hAnsi="Trebuchet MS"/>
        </w:rPr>
        <w:t>3.</w:t>
      </w:r>
      <w:r w:rsidRPr="00915D6B">
        <w:rPr>
          <w:rFonts w:ascii="Trebuchet MS" w:hAnsi="Trebuchet MS"/>
        </w:rPr>
        <w:tab/>
        <w:t>Specific tasks to be performed by the consultant:</w:t>
      </w:r>
    </w:p>
    <w:p w:rsidR="00915D6B" w:rsidRPr="00915D6B" w:rsidRDefault="00915D6B" w:rsidP="00915D6B">
      <w:pPr>
        <w:rPr>
          <w:rFonts w:ascii="Trebuchet MS" w:hAnsi="Trebuchet MS"/>
        </w:rPr>
      </w:pPr>
      <w:r w:rsidRPr="00915D6B">
        <w:rPr>
          <w:rFonts w:ascii="Trebuchet MS" w:hAnsi="Trebuchet MS"/>
        </w:rPr>
        <w:t xml:space="preserve">Under the guidance of the </w:t>
      </w:r>
      <w:r w:rsidR="005259B9">
        <w:rPr>
          <w:rFonts w:ascii="Trebuchet MS" w:hAnsi="Trebuchet MS"/>
        </w:rPr>
        <w:t xml:space="preserve">project manager at the </w:t>
      </w:r>
      <w:r w:rsidRPr="00915D6B">
        <w:rPr>
          <w:rFonts w:ascii="Trebuchet MS" w:hAnsi="Trebuchet MS"/>
        </w:rPr>
        <w:t>Commonwealth Secretariat, the consultant will prepare a Guide</w:t>
      </w:r>
      <w:r w:rsidR="005259B9">
        <w:rPr>
          <w:rFonts w:ascii="Trebuchet MS" w:hAnsi="Trebuchet MS"/>
        </w:rPr>
        <w:t xml:space="preserve"> to legislative reform on small arms and light weapons</w:t>
      </w:r>
      <w:r w:rsidRPr="00915D6B">
        <w:rPr>
          <w:rFonts w:ascii="Trebuchet MS" w:hAnsi="Trebuchet MS"/>
        </w:rPr>
        <w:t xml:space="preserve">. The Guide will include: </w:t>
      </w:r>
    </w:p>
    <w:p w:rsidR="00915D6B" w:rsidRPr="00915D6B" w:rsidRDefault="005259B9" w:rsidP="00915D6B">
      <w:pPr>
        <w:rPr>
          <w:rFonts w:ascii="Trebuchet MS" w:hAnsi="Trebuchet MS"/>
        </w:rPr>
      </w:pPr>
      <w:r>
        <w:rPr>
          <w:rFonts w:ascii="Trebuchet MS" w:hAnsi="Trebuchet MS"/>
        </w:rPr>
        <w:t>1</w:t>
      </w:r>
      <w:r w:rsidR="00BB22DA">
        <w:rPr>
          <w:rFonts w:ascii="Trebuchet MS" w:hAnsi="Trebuchet MS"/>
        </w:rPr>
        <w:t>)</w:t>
      </w:r>
      <w:r w:rsidR="00BB22DA">
        <w:rPr>
          <w:rFonts w:ascii="Trebuchet MS" w:hAnsi="Trebuchet MS"/>
        </w:rPr>
        <w:tab/>
        <w:t>Guidance on the implementation of international instruments on small arms and light weapons, including the Arms Trade Treaty and the United Nations Programme of Actions on Small Arms</w:t>
      </w:r>
      <w:r w:rsidR="00915D6B" w:rsidRPr="00915D6B">
        <w:rPr>
          <w:rFonts w:ascii="Trebuchet MS" w:hAnsi="Trebuchet MS"/>
        </w:rPr>
        <w:t>;</w:t>
      </w:r>
    </w:p>
    <w:p w:rsidR="00915D6B" w:rsidRDefault="00BB22DA" w:rsidP="00915D6B">
      <w:pPr>
        <w:rPr>
          <w:rFonts w:ascii="Trebuchet MS" w:hAnsi="Trebuchet MS"/>
        </w:rPr>
      </w:pPr>
      <w:r>
        <w:rPr>
          <w:rFonts w:ascii="Trebuchet MS" w:hAnsi="Trebuchet MS"/>
        </w:rPr>
        <w:t>2</w:t>
      </w:r>
      <w:r w:rsidR="00915D6B" w:rsidRPr="00915D6B">
        <w:rPr>
          <w:rFonts w:ascii="Trebuchet MS" w:hAnsi="Trebuchet MS"/>
        </w:rPr>
        <w:t>)</w:t>
      </w:r>
      <w:r w:rsidR="00915D6B" w:rsidRPr="00915D6B">
        <w:rPr>
          <w:rFonts w:ascii="Trebuchet MS" w:hAnsi="Trebuchet MS"/>
        </w:rPr>
        <w:tab/>
      </w:r>
      <w:r>
        <w:rPr>
          <w:rFonts w:ascii="Trebuchet MS" w:hAnsi="Trebuchet MS"/>
        </w:rPr>
        <w:t xml:space="preserve">Guidance on law reform, providing an overview of laws that </w:t>
      </w:r>
      <w:r w:rsidR="00C857DB">
        <w:rPr>
          <w:rFonts w:ascii="Trebuchet MS" w:hAnsi="Trebuchet MS"/>
        </w:rPr>
        <w:t xml:space="preserve">may </w:t>
      </w:r>
      <w:r>
        <w:rPr>
          <w:rFonts w:ascii="Trebuchet MS" w:hAnsi="Trebuchet MS"/>
        </w:rPr>
        <w:t>require</w:t>
      </w:r>
      <w:r w:rsidR="00C857DB">
        <w:rPr>
          <w:rFonts w:ascii="Trebuchet MS" w:hAnsi="Trebuchet MS"/>
        </w:rPr>
        <w:t xml:space="preserve"> reform and highlighting important provisions to be addressed</w:t>
      </w:r>
      <w:r w:rsidR="00915D6B" w:rsidRPr="00915D6B">
        <w:rPr>
          <w:rFonts w:ascii="Trebuchet MS" w:hAnsi="Trebuchet MS"/>
        </w:rPr>
        <w:t xml:space="preserve">; </w:t>
      </w:r>
    </w:p>
    <w:p w:rsidR="00915D6B" w:rsidRPr="002D4629" w:rsidRDefault="00C857DB" w:rsidP="002D4629">
      <w:pPr>
        <w:rPr>
          <w:rFonts w:ascii="Trebuchet MS" w:hAnsi="Trebuchet MS"/>
        </w:rPr>
      </w:pPr>
      <w:r>
        <w:rPr>
          <w:rFonts w:ascii="Trebuchet MS" w:hAnsi="Trebuchet MS"/>
        </w:rPr>
        <w:t>3</w:t>
      </w:r>
      <w:r w:rsidR="00915D6B" w:rsidRPr="00915D6B">
        <w:rPr>
          <w:rFonts w:ascii="Trebuchet MS" w:hAnsi="Trebuchet MS"/>
        </w:rPr>
        <w:t>)</w:t>
      </w:r>
      <w:r w:rsidR="00915D6B" w:rsidRPr="00915D6B">
        <w:rPr>
          <w:rFonts w:ascii="Trebuchet MS" w:hAnsi="Trebuchet MS"/>
        </w:rPr>
        <w:tab/>
        <w:t>Good pr</w:t>
      </w:r>
      <w:r>
        <w:rPr>
          <w:rFonts w:ascii="Trebuchet MS" w:hAnsi="Trebuchet MS"/>
        </w:rPr>
        <w:t xml:space="preserve">actice examples from </w:t>
      </w:r>
      <w:r w:rsidR="00915D6B" w:rsidRPr="00915D6B">
        <w:rPr>
          <w:rFonts w:ascii="Trebuchet MS" w:hAnsi="Trebuchet MS"/>
        </w:rPr>
        <w:t xml:space="preserve">Commonwealth member countries, with due regard to equitable geographical distribution, describing specific </w:t>
      </w:r>
      <w:r>
        <w:rPr>
          <w:rFonts w:ascii="Trebuchet MS" w:hAnsi="Trebuchet MS"/>
        </w:rPr>
        <w:t>laws</w:t>
      </w:r>
      <w:r w:rsidR="00915D6B" w:rsidRPr="00915D6B">
        <w:rPr>
          <w:rFonts w:ascii="Trebuchet MS" w:hAnsi="Trebuchet MS"/>
        </w:rPr>
        <w:t xml:space="preserve"> identified in as requiring reform, and summarising the legislative changes made, together with </w:t>
      </w:r>
      <w:r w:rsidR="002D4629" w:rsidRPr="002D4629">
        <w:rPr>
          <w:rFonts w:ascii="Trebuchet MS" w:hAnsi="Trebuchet MS"/>
        </w:rPr>
        <w:t xml:space="preserve">application in practice, including understanding by law enforcement, prosecutors and judges, </w:t>
      </w:r>
      <w:r w:rsidR="002D4629" w:rsidRPr="002D4629">
        <w:rPr>
          <w:rFonts w:ascii="Trebuchet MS" w:hAnsi="Trebuchet MS"/>
        </w:rPr>
        <w:lastRenderedPageBreak/>
        <w:t>ease/extent of application, knowledge amongst general population, challenges/successes in implementation</w:t>
      </w:r>
      <w:r w:rsidR="002E6E69">
        <w:rPr>
          <w:rFonts w:ascii="Trebuchet MS" w:hAnsi="Trebuchet MS"/>
        </w:rPr>
        <w:t>;</w:t>
      </w:r>
    </w:p>
    <w:p w:rsidR="00915D6B" w:rsidRPr="00915D6B" w:rsidRDefault="00C857DB" w:rsidP="00915D6B">
      <w:pPr>
        <w:rPr>
          <w:rFonts w:ascii="Trebuchet MS" w:hAnsi="Trebuchet MS"/>
        </w:rPr>
      </w:pPr>
      <w:r>
        <w:rPr>
          <w:rFonts w:ascii="Trebuchet MS" w:hAnsi="Trebuchet MS"/>
        </w:rPr>
        <w:t>4</w:t>
      </w:r>
      <w:r w:rsidR="00915D6B" w:rsidRPr="00915D6B">
        <w:rPr>
          <w:rFonts w:ascii="Trebuchet MS" w:hAnsi="Trebuchet MS"/>
        </w:rPr>
        <w:t>)</w:t>
      </w:r>
      <w:r w:rsidR="00915D6B" w:rsidRPr="00915D6B">
        <w:rPr>
          <w:rFonts w:ascii="Trebuchet MS" w:hAnsi="Trebuchet MS"/>
        </w:rPr>
        <w:tab/>
      </w:r>
      <w:r>
        <w:rPr>
          <w:rFonts w:ascii="Trebuchet MS" w:hAnsi="Trebuchet MS"/>
        </w:rPr>
        <w:t>Report on the country assessments, highlighting challenges, good practice that can be replicated, processes followed and recommendations which can be applied across the Commonwealth</w:t>
      </w:r>
      <w:r w:rsidR="00915D6B" w:rsidRPr="00915D6B">
        <w:rPr>
          <w:rFonts w:ascii="Trebuchet MS" w:hAnsi="Trebuchet MS"/>
        </w:rPr>
        <w:t xml:space="preserve">; </w:t>
      </w:r>
    </w:p>
    <w:p w:rsidR="00915D6B" w:rsidRDefault="00C857DB" w:rsidP="00915D6B">
      <w:pPr>
        <w:rPr>
          <w:rFonts w:ascii="Trebuchet MS" w:hAnsi="Trebuchet MS"/>
        </w:rPr>
      </w:pPr>
      <w:r>
        <w:rPr>
          <w:rFonts w:ascii="Trebuchet MS" w:hAnsi="Trebuchet MS"/>
        </w:rPr>
        <w:t>5</w:t>
      </w:r>
      <w:r w:rsidR="00915D6B" w:rsidRPr="00915D6B">
        <w:rPr>
          <w:rFonts w:ascii="Trebuchet MS" w:hAnsi="Trebuchet MS"/>
        </w:rPr>
        <w:t>)</w:t>
      </w:r>
      <w:r w:rsidR="00915D6B" w:rsidRPr="00915D6B">
        <w:rPr>
          <w:rFonts w:ascii="Trebuchet MS" w:hAnsi="Trebuchet MS"/>
        </w:rPr>
        <w:tab/>
        <w:t xml:space="preserve">An overview table listing legislation governing </w:t>
      </w:r>
      <w:r>
        <w:rPr>
          <w:rFonts w:ascii="Trebuchet MS" w:hAnsi="Trebuchet MS"/>
        </w:rPr>
        <w:t xml:space="preserve">small arms and light weapons in </w:t>
      </w:r>
      <w:r w:rsidR="00915D6B" w:rsidRPr="00915D6B">
        <w:rPr>
          <w:rFonts w:ascii="Trebuchet MS" w:hAnsi="Trebuchet MS"/>
        </w:rPr>
        <w:t xml:space="preserve">all Commonwealth member countries.  </w:t>
      </w:r>
    </w:p>
    <w:p w:rsidR="00C857DB" w:rsidRPr="00C857DB" w:rsidRDefault="00C857DB" w:rsidP="00C857DB">
      <w:pPr>
        <w:widowControl w:val="0"/>
        <w:spacing w:after="0" w:line="276" w:lineRule="auto"/>
        <w:ind w:left="426" w:right="454" w:hanging="426"/>
        <w:rPr>
          <w:rFonts w:ascii="Trebuchet MS" w:eastAsia="Times New Roman" w:hAnsi="Trebuchet MS" w:cs="Times New Roman"/>
        </w:rPr>
      </w:pPr>
      <w:r w:rsidRPr="00C857DB">
        <w:rPr>
          <w:rFonts w:ascii="Trebuchet MS" w:eastAsia="Times New Roman" w:hAnsi="Trebuchet MS" w:cs="Times New Roman"/>
          <w:b/>
        </w:rPr>
        <w:t>4.</w:t>
      </w:r>
      <w:r w:rsidRPr="00C857DB">
        <w:rPr>
          <w:rFonts w:ascii="Trebuchet MS" w:eastAsia="Times New Roman" w:hAnsi="Trebuchet MS" w:cs="Times New Roman"/>
          <w:b/>
        </w:rPr>
        <w:tab/>
        <w:t xml:space="preserve">Expected tangible and measurable output(s): </w:t>
      </w:r>
    </w:p>
    <w:p w:rsidR="00C857DB" w:rsidRPr="00C857DB" w:rsidRDefault="00C857DB" w:rsidP="00C857DB">
      <w:pPr>
        <w:widowControl w:val="0"/>
        <w:spacing w:after="0" w:line="276" w:lineRule="auto"/>
        <w:rPr>
          <w:rFonts w:ascii="Trebuchet MS" w:eastAsia="Times New Roman" w:hAnsi="Trebuchet MS" w:cs="Times New Roman"/>
        </w:rPr>
      </w:pPr>
    </w:p>
    <w:tbl>
      <w:tblPr>
        <w:tblStyle w:val="TableGrid"/>
        <w:tblW w:w="0" w:type="auto"/>
        <w:tblLook w:val="04A0" w:firstRow="1" w:lastRow="0" w:firstColumn="1" w:lastColumn="0" w:noHBand="0" w:noVBand="1"/>
      </w:tblPr>
      <w:tblGrid>
        <w:gridCol w:w="6317"/>
        <w:gridCol w:w="2698"/>
      </w:tblGrid>
      <w:tr w:rsidR="00C857DB" w:rsidRPr="00C857DB" w:rsidTr="003A7C8B">
        <w:tc>
          <w:tcPr>
            <w:tcW w:w="6317" w:type="dxa"/>
          </w:tcPr>
          <w:p w:rsidR="00C857DB" w:rsidRPr="00C857DB" w:rsidRDefault="00C857DB" w:rsidP="00C857DB">
            <w:pPr>
              <w:spacing w:line="276" w:lineRule="auto"/>
              <w:jc w:val="both"/>
              <w:rPr>
                <w:rFonts w:ascii="Trebuchet MS" w:eastAsia="Times New Roman" w:hAnsi="Trebuchet MS"/>
                <w:b/>
              </w:rPr>
            </w:pPr>
            <w:r w:rsidRPr="00C857DB">
              <w:rPr>
                <w:rFonts w:ascii="Trebuchet MS" w:eastAsia="Times New Roman" w:hAnsi="Trebuchet MS"/>
                <w:b/>
              </w:rPr>
              <w:t>Deliverable</w:t>
            </w:r>
          </w:p>
        </w:tc>
        <w:tc>
          <w:tcPr>
            <w:tcW w:w="2698" w:type="dxa"/>
          </w:tcPr>
          <w:p w:rsidR="00C857DB" w:rsidRPr="00C857DB" w:rsidRDefault="00C857DB" w:rsidP="00C857DB">
            <w:pPr>
              <w:spacing w:line="276" w:lineRule="auto"/>
              <w:jc w:val="both"/>
              <w:rPr>
                <w:rFonts w:ascii="Trebuchet MS" w:eastAsia="Times New Roman" w:hAnsi="Trebuchet MS"/>
                <w:b/>
              </w:rPr>
            </w:pPr>
            <w:r w:rsidRPr="00C857DB">
              <w:rPr>
                <w:rFonts w:ascii="Trebuchet MS" w:eastAsia="Times New Roman" w:hAnsi="Trebuchet MS"/>
                <w:b/>
              </w:rPr>
              <w:t>Timeline</w:t>
            </w:r>
          </w:p>
        </w:tc>
      </w:tr>
      <w:tr w:rsidR="00C857DB" w:rsidRPr="00C857DB" w:rsidTr="003A7C8B">
        <w:tc>
          <w:tcPr>
            <w:tcW w:w="6317" w:type="dxa"/>
          </w:tcPr>
          <w:p w:rsidR="00C857DB" w:rsidRPr="00C857DB" w:rsidRDefault="00C857DB" w:rsidP="00C857DB">
            <w:pPr>
              <w:widowControl w:val="0"/>
              <w:numPr>
                <w:ilvl w:val="0"/>
                <w:numId w:val="7"/>
              </w:numPr>
              <w:tabs>
                <w:tab w:val="left" w:pos="313"/>
              </w:tabs>
              <w:spacing w:after="200" w:line="276" w:lineRule="auto"/>
              <w:ind w:left="313" w:hanging="284"/>
              <w:contextualSpacing/>
              <w:jc w:val="both"/>
              <w:rPr>
                <w:rFonts w:ascii="Trebuchet MS" w:eastAsia="Times New Roman" w:hAnsi="Trebuchet MS"/>
              </w:rPr>
            </w:pPr>
            <w:r w:rsidRPr="00C857DB">
              <w:rPr>
                <w:rFonts w:ascii="Trebuchet MS" w:eastAsia="Times New Roman" w:hAnsi="Trebuchet MS"/>
              </w:rPr>
              <w:t>Draft outline of Guide</w:t>
            </w:r>
          </w:p>
        </w:tc>
        <w:tc>
          <w:tcPr>
            <w:tcW w:w="2698" w:type="dxa"/>
          </w:tcPr>
          <w:p w:rsidR="00C857DB" w:rsidRPr="00C857DB" w:rsidRDefault="001A7B9C" w:rsidP="00C857DB">
            <w:pPr>
              <w:spacing w:line="276" w:lineRule="auto"/>
              <w:jc w:val="both"/>
              <w:rPr>
                <w:rFonts w:ascii="Trebuchet MS" w:eastAsia="Times New Roman" w:hAnsi="Trebuchet MS"/>
              </w:rPr>
            </w:pPr>
            <w:r>
              <w:rPr>
                <w:rFonts w:ascii="Trebuchet MS" w:eastAsia="Times New Roman" w:hAnsi="Trebuchet MS"/>
              </w:rPr>
              <w:t>1 December</w:t>
            </w:r>
            <w:r w:rsidR="00C857DB">
              <w:rPr>
                <w:rFonts w:ascii="Trebuchet MS" w:eastAsia="Times New Roman" w:hAnsi="Trebuchet MS"/>
              </w:rPr>
              <w:t xml:space="preserve"> 2018</w:t>
            </w:r>
          </w:p>
        </w:tc>
      </w:tr>
      <w:tr w:rsidR="00C857DB" w:rsidRPr="00C857DB" w:rsidTr="003A7C8B">
        <w:tc>
          <w:tcPr>
            <w:tcW w:w="6317" w:type="dxa"/>
          </w:tcPr>
          <w:p w:rsidR="00C857DB" w:rsidRPr="00C857DB" w:rsidRDefault="00C857DB" w:rsidP="00C857DB">
            <w:pPr>
              <w:spacing w:line="276" w:lineRule="auto"/>
              <w:ind w:left="313" w:hanging="284"/>
              <w:jc w:val="both"/>
              <w:rPr>
                <w:rFonts w:ascii="Trebuchet MS" w:eastAsia="Times New Roman" w:hAnsi="Trebuchet MS"/>
              </w:rPr>
            </w:pPr>
            <w:r w:rsidRPr="00C857DB">
              <w:rPr>
                <w:rFonts w:ascii="Trebuchet MS" w:eastAsia="Times New Roman" w:hAnsi="Trebuchet MS"/>
              </w:rPr>
              <w:t xml:space="preserve">b) </w:t>
            </w:r>
            <w:r>
              <w:rPr>
                <w:rFonts w:ascii="Trebuchet MS" w:eastAsia="Times New Roman" w:hAnsi="Trebuchet MS"/>
              </w:rPr>
              <w:t>Three country assessments</w:t>
            </w:r>
          </w:p>
        </w:tc>
        <w:tc>
          <w:tcPr>
            <w:tcW w:w="2698" w:type="dxa"/>
          </w:tcPr>
          <w:p w:rsidR="00C857DB" w:rsidRPr="00C857DB" w:rsidRDefault="00C857DB" w:rsidP="00C857DB">
            <w:pPr>
              <w:spacing w:line="276" w:lineRule="auto"/>
              <w:jc w:val="both"/>
              <w:rPr>
                <w:rFonts w:ascii="Trebuchet MS" w:eastAsia="Times New Roman" w:hAnsi="Trebuchet MS"/>
              </w:rPr>
            </w:pPr>
            <w:r>
              <w:rPr>
                <w:rFonts w:ascii="Trebuchet MS" w:eastAsia="Times New Roman" w:hAnsi="Trebuchet MS"/>
              </w:rPr>
              <w:t xml:space="preserve">To be completed by 31 </w:t>
            </w:r>
            <w:r w:rsidR="001A7B9C">
              <w:rPr>
                <w:rFonts w:ascii="Trebuchet MS" w:eastAsia="Times New Roman" w:hAnsi="Trebuchet MS"/>
              </w:rPr>
              <w:t>January 2019</w:t>
            </w:r>
          </w:p>
        </w:tc>
      </w:tr>
      <w:tr w:rsidR="00C857DB" w:rsidRPr="00C857DB" w:rsidTr="003A7C8B">
        <w:tc>
          <w:tcPr>
            <w:tcW w:w="6317" w:type="dxa"/>
          </w:tcPr>
          <w:p w:rsidR="00C857DB" w:rsidRPr="00C857DB" w:rsidRDefault="00C857DB" w:rsidP="00C857DB">
            <w:pPr>
              <w:spacing w:line="276" w:lineRule="auto"/>
              <w:ind w:left="313" w:hanging="284"/>
              <w:jc w:val="both"/>
              <w:rPr>
                <w:rFonts w:ascii="Trebuchet MS" w:eastAsia="Times New Roman" w:hAnsi="Trebuchet MS"/>
              </w:rPr>
            </w:pPr>
            <w:r>
              <w:rPr>
                <w:rFonts w:ascii="Trebuchet MS" w:eastAsia="Times New Roman" w:hAnsi="Trebuchet MS"/>
              </w:rPr>
              <w:t>c) First d</w:t>
            </w:r>
            <w:r w:rsidRPr="00C857DB">
              <w:rPr>
                <w:rFonts w:ascii="Trebuchet MS" w:eastAsia="Times New Roman" w:hAnsi="Trebuchet MS"/>
              </w:rPr>
              <w:t xml:space="preserve">raft of Guide </w:t>
            </w:r>
          </w:p>
        </w:tc>
        <w:tc>
          <w:tcPr>
            <w:tcW w:w="2698" w:type="dxa"/>
          </w:tcPr>
          <w:p w:rsidR="00C857DB" w:rsidRPr="00C857DB" w:rsidRDefault="00327FA8" w:rsidP="00C857DB">
            <w:pPr>
              <w:spacing w:line="276" w:lineRule="auto"/>
              <w:jc w:val="both"/>
              <w:rPr>
                <w:rFonts w:ascii="Trebuchet MS" w:eastAsia="Times New Roman" w:hAnsi="Trebuchet MS"/>
              </w:rPr>
            </w:pPr>
            <w:r>
              <w:rPr>
                <w:rFonts w:ascii="Trebuchet MS" w:eastAsia="Times New Roman" w:hAnsi="Trebuchet MS"/>
              </w:rPr>
              <w:t>15 February 2019</w:t>
            </w:r>
          </w:p>
        </w:tc>
      </w:tr>
      <w:tr w:rsidR="00C857DB" w:rsidRPr="00C857DB" w:rsidTr="003A7C8B">
        <w:tc>
          <w:tcPr>
            <w:tcW w:w="6317" w:type="dxa"/>
          </w:tcPr>
          <w:p w:rsidR="00C857DB" w:rsidRPr="00C857DB" w:rsidRDefault="00C857DB" w:rsidP="00C857DB">
            <w:pPr>
              <w:spacing w:line="276" w:lineRule="auto"/>
              <w:ind w:left="313" w:hanging="284"/>
              <w:jc w:val="both"/>
              <w:rPr>
                <w:rFonts w:ascii="Trebuchet MS" w:eastAsia="Times New Roman" w:hAnsi="Trebuchet MS"/>
              </w:rPr>
            </w:pPr>
            <w:r>
              <w:rPr>
                <w:rFonts w:ascii="Trebuchet MS" w:eastAsia="Times New Roman" w:hAnsi="Trebuchet MS"/>
              </w:rPr>
              <w:t xml:space="preserve">d) Second Draft of Guide </w:t>
            </w:r>
            <w:r w:rsidRPr="00C857DB">
              <w:rPr>
                <w:rFonts w:ascii="Trebuchet MS" w:eastAsia="Times New Roman" w:hAnsi="Trebuchet MS"/>
              </w:rPr>
              <w:t>taking into account comments provided by the Secretariat</w:t>
            </w:r>
          </w:p>
        </w:tc>
        <w:tc>
          <w:tcPr>
            <w:tcW w:w="2698" w:type="dxa"/>
          </w:tcPr>
          <w:p w:rsidR="00C857DB" w:rsidRPr="00C857DB" w:rsidRDefault="00327FA8" w:rsidP="00327FA8">
            <w:pPr>
              <w:spacing w:line="276" w:lineRule="auto"/>
              <w:jc w:val="both"/>
              <w:rPr>
                <w:rFonts w:ascii="Trebuchet MS" w:eastAsia="Times New Roman" w:hAnsi="Trebuchet MS"/>
              </w:rPr>
            </w:pPr>
            <w:r>
              <w:rPr>
                <w:rFonts w:ascii="Trebuchet MS" w:eastAsia="Times New Roman" w:hAnsi="Trebuchet MS"/>
              </w:rPr>
              <w:t>1 March</w:t>
            </w:r>
            <w:r w:rsidR="00C857DB">
              <w:rPr>
                <w:rFonts w:ascii="Trebuchet MS" w:eastAsia="Times New Roman" w:hAnsi="Trebuchet MS"/>
              </w:rPr>
              <w:t xml:space="preserve"> 201</w:t>
            </w:r>
            <w:r>
              <w:rPr>
                <w:rFonts w:ascii="Trebuchet MS" w:eastAsia="Times New Roman" w:hAnsi="Trebuchet MS"/>
              </w:rPr>
              <w:t>9</w:t>
            </w:r>
          </w:p>
        </w:tc>
      </w:tr>
      <w:tr w:rsidR="00C857DB" w:rsidRPr="00C857DB" w:rsidTr="003A7C8B">
        <w:tc>
          <w:tcPr>
            <w:tcW w:w="6317" w:type="dxa"/>
          </w:tcPr>
          <w:p w:rsidR="00C857DB" w:rsidRPr="00C857DB" w:rsidRDefault="00C857DB" w:rsidP="00C857DB">
            <w:pPr>
              <w:spacing w:line="276" w:lineRule="auto"/>
              <w:ind w:left="313" w:hanging="284"/>
              <w:jc w:val="both"/>
              <w:rPr>
                <w:rFonts w:ascii="Trebuchet MS" w:eastAsia="Times New Roman" w:hAnsi="Trebuchet MS"/>
              </w:rPr>
            </w:pPr>
            <w:r>
              <w:rPr>
                <w:rFonts w:ascii="Trebuchet MS" w:eastAsia="Times New Roman" w:hAnsi="Trebuchet MS"/>
              </w:rPr>
              <w:t>e</w:t>
            </w:r>
            <w:r w:rsidRPr="00C857DB">
              <w:rPr>
                <w:rFonts w:ascii="Trebuchet MS" w:eastAsia="Times New Roman" w:hAnsi="Trebuchet MS"/>
              </w:rPr>
              <w:t>) Final version of Guide taking into account comments provided by the Secretariat</w:t>
            </w:r>
          </w:p>
        </w:tc>
        <w:tc>
          <w:tcPr>
            <w:tcW w:w="2698" w:type="dxa"/>
          </w:tcPr>
          <w:p w:rsidR="00C857DB" w:rsidRPr="00C857DB" w:rsidRDefault="00327FA8" w:rsidP="00327FA8">
            <w:pPr>
              <w:spacing w:line="276" w:lineRule="auto"/>
              <w:jc w:val="both"/>
              <w:rPr>
                <w:rFonts w:ascii="Trebuchet MS" w:eastAsia="Times New Roman" w:hAnsi="Trebuchet MS"/>
              </w:rPr>
            </w:pPr>
            <w:r>
              <w:rPr>
                <w:rFonts w:ascii="Trebuchet MS" w:eastAsia="Times New Roman" w:hAnsi="Trebuchet MS"/>
              </w:rPr>
              <w:t>30</w:t>
            </w:r>
            <w:r w:rsidR="00C857DB">
              <w:rPr>
                <w:rFonts w:ascii="Trebuchet MS" w:eastAsia="Times New Roman" w:hAnsi="Trebuchet MS"/>
              </w:rPr>
              <w:t xml:space="preserve"> </w:t>
            </w:r>
            <w:r>
              <w:rPr>
                <w:rFonts w:ascii="Trebuchet MS" w:eastAsia="Times New Roman" w:hAnsi="Trebuchet MS"/>
              </w:rPr>
              <w:t>March 2019</w:t>
            </w:r>
          </w:p>
        </w:tc>
      </w:tr>
    </w:tbl>
    <w:p w:rsidR="00C857DB" w:rsidRPr="00C857DB" w:rsidRDefault="00C857DB" w:rsidP="00C857DB">
      <w:pPr>
        <w:spacing w:after="0" w:line="276" w:lineRule="auto"/>
        <w:jc w:val="both"/>
        <w:rPr>
          <w:rFonts w:ascii="Trebuchet MS" w:eastAsia="Times New Roman" w:hAnsi="Trebuchet MS" w:cs="Times New Roman"/>
        </w:rPr>
      </w:pPr>
    </w:p>
    <w:p w:rsidR="00C857DB" w:rsidRPr="00C857DB" w:rsidRDefault="00C857DB" w:rsidP="00C857DB">
      <w:pPr>
        <w:widowControl w:val="0"/>
        <w:spacing w:after="0" w:line="276" w:lineRule="auto"/>
        <w:rPr>
          <w:rFonts w:ascii="Trebuchet MS" w:eastAsia="Times New Roman" w:hAnsi="Trebuchet MS" w:cs="Times New Roman"/>
        </w:rPr>
      </w:pPr>
    </w:p>
    <w:p w:rsidR="00C857DB" w:rsidRPr="00C857DB" w:rsidRDefault="00C857DB" w:rsidP="00C857DB">
      <w:pPr>
        <w:widowControl w:val="0"/>
        <w:numPr>
          <w:ilvl w:val="0"/>
          <w:numId w:val="3"/>
        </w:numPr>
        <w:tabs>
          <w:tab w:val="num" w:pos="426"/>
        </w:tabs>
        <w:spacing w:after="0" w:line="276" w:lineRule="auto"/>
        <w:ind w:left="426" w:hanging="426"/>
        <w:rPr>
          <w:rFonts w:ascii="Trebuchet MS" w:eastAsia="Times New Roman" w:hAnsi="Trebuchet MS" w:cs="Times New Roman"/>
          <w:b/>
        </w:rPr>
      </w:pPr>
      <w:r w:rsidRPr="00C857DB">
        <w:rPr>
          <w:rFonts w:ascii="Trebuchet MS" w:eastAsia="Times New Roman" w:hAnsi="Trebuchet MS" w:cs="Times New Roman"/>
          <w:b/>
        </w:rPr>
        <w:t>Indicators to evaluate the consultant’s performance:</w:t>
      </w:r>
    </w:p>
    <w:p w:rsidR="00C857DB" w:rsidRPr="00C857DB" w:rsidRDefault="00C857DB" w:rsidP="00C857DB">
      <w:pPr>
        <w:widowControl w:val="0"/>
        <w:tabs>
          <w:tab w:val="left" w:pos="0"/>
        </w:tabs>
        <w:spacing w:before="120" w:after="120" w:line="276" w:lineRule="auto"/>
        <w:jc w:val="both"/>
        <w:rPr>
          <w:rFonts w:ascii="Trebuchet MS" w:eastAsia="Times New Roman" w:hAnsi="Trebuchet MS" w:cs="Times New Roman"/>
          <w:lang w:eastAsia="de-DE"/>
        </w:rPr>
      </w:pPr>
      <w:r w:rsidRPr="00C857DB">
        <w:rPr>
          <w:rFonts w:ascii="Trebuchet MS" w:eastAsia="Times New Roman" w:hAnsi="Trebuchet MS" w:cs="Times New Roman"/>
          <w:lang w:eastAsia="de-DE"/>
        </w:rPr>
        <w:t>All outputs shall be assessed in accordance with the following indicators:</w:t>
      </w:r>
    </w:p>
    <w:tbl>
      <w:tblPr>
        <w:tblStyle w:val="TableGrid"/>
        <w:tblW w:w="0" w:type="auto"/>
        <w:tblLook w:val="04A0" w:firstRow="1" w:lastRow="0" w:firstColumn="1" w:lastColumn="0" w:noHBand="0" w:noVBand="1"/>
      </w:tblPr>
      <w:tblGrid>
        <w:gridCol w:w="4247"/>
        <w:gridCol w:w="4768"/>
      </w:tblGrid>
      <w:tr w:rsidR="00C857DB" w:rsidRPr="00C857DB" w:rsidTr="003A7C8B">
        <w:tc>
          <w:tcPr>
            <w:tcW w:w="4247" w:type="dxa"/>
          </w:tcPr>
          <w:p w:rsidR="00C857DB" w:rsidRPr="00C857DB" w:rsidRDefault="00C857DB" w:rsidP="00C857DB">
            <w:pPr>
              <w:spacing w:line="276" w:lineRule="auto"/>
              <w:jc w:val="both"/>
              <w:rPr>
                <w:rFonts w:ascii="Trebuchet MS" w:eastAsia="Times New Roman" w:hAnsi="Trebuchet MS"/>
                <w:b/>
              </w:rPr>
            </w:pPr>
            <w:r w:rsidRPr="00C857DB">
              <w:rPr>
                <w:rFonts w:ascii="Trebuchet MS" w:eastAsia="Times New Roman" w:hAnsi="Trebuchet MS"/>
                <w:b/>
              </w:rPr>
              <w:t>Deliverable</w:t>
            </w:r>
          </w:p>
        </w:tc>
        <w:tc>
          <w:tcPr>
            <w:tcW w:w="4768" w:type="dxa"/>
          </w:tcPr>
          <w:p w:rsidR="00C857DB" w:rsidRPr="00C857DB" w:rsidRDefault="00C857DB" w:rsidP="00C857DB">
            <w:pPr>
              <w:spacing w:line="276" w:lineRule="auto"/>
              <w:jc w:val="both"/>
              <w:rPr>
                <w:rFonts w:ascii="Trebuchet MS" w:eastAsia="Times New Roman" w:hAnsi="Trebuchet MS"/>
                <w:b/>
              </w:rPr>
            </w:pPr>
            <w:r w:rsidRPr="00C857DB">
              <w:rPr>
                <w:rFonts w:ascii="Trebuchet MS" w:eastAsia="Times New Roman" w:hAnsi="Trebuchet MS"/>
                <w:b/>
              </w:rPr>
              <w:t>Indicators</w:t>
            </w:r>
          </w:p>
        </w:tc>
      </w:tr>
      <w:tr w:rsidR="00C857DB" w:rsidRPr="00C857DB" w:rsidTr="003A7C8B">
        <w:tc>
          <w:tcPr>
            <w:tcW w:w="4247" w:type="dxa"/>
          </w:tcPr>
          <w:p w:rsidR="00C857DB" w:rsidRPr="00F433A8" w:rsidRDefault="00F433A8" w:rsidP="00F433A8">
            <w:pPr>
              <w:spacing w:line="276" w:lineRule="auto"/>
              <w:rPr>
                <w:rFonts w:ascii="Trebuchet MS" w:eastAsia="Times New Roman" w:hAnsi="Trebuchet MS"/>
              </w:rPr>
            </w:pPr>
            <w:r>
              <w:rPr>
                <w:rFonts w:ascii="Trebuchet MS" w:eastAsia="Times New Roman" w:hAnsi="Trebuchet MS"/>
              </w:rPr>
              <w:t xml:space="preserve">b) </w:t>
            </w:r>
            <w:r w:rsidR="00C857DB" w:rsidRPr="00F433A8">
              <w:rPr>
                <w:rFonts w:ascii="Trebuchet MS" w:eastAsia="Times New Roman" w:hAnsi="Trebuchet MS"/>
              </w:rPr>
              <w:t>Country assessments</w:t>
            </w:r>
          </w:p>
        </w:tc>
        <w:tc>
          <w:tcPr>
            <w:tcW w:w="4768" w:type="dxa"/>
          </w:tcPr>
          <w:p w:rsidR="00F433A8" w:rsidRDefault="00F433A8" w:rsidP="00D3036F">
            <w:pPr>
              <w:widowControl w:val="0"/>
              <w:numPr>
                <w:ilvl w:val="0"/>
                <w:numId w:val="5"/>
              </w:numPr>
              <w:spacing w:line="276" w:lineRule="auto"/>
              <w:ind w:left="317" w:hanging="283"/>
              <w:rPr>
                <w:rFonts w:ascii="Trebuchet MS" w:eastAsia="Times New Roman" w:hAnsi="Trebuchet MS"/>
              </w:rPr>
            </w:pPr>
            <w:r w:rsidRPr="00F433A8">
              <w:rPr>
                <w:rFonts w:ascii="Trebuchet MS" w:eastAsia="Times New Roman" w:hAnsi="Trebuchet MS"/>
              </w:rPr>
              <w:t xml:space="preserve">Engagement with the relevant stakeholders in country </w:t>
            </w:r>
          </w:p>
          <w:p w:rsidR="00F433A8" w:rsidRPr="00F433A8" w:rsidRDefault="00F433A8" w:rsidP="00D3036F">
            <w:pPr>
              <w:widowControl w:val="0"/>
              <w:numPr>
                <w:ilvl w:val="0"/>
                <w:numId w:val="5"/>
              </w:numPr>
              <w:spacing w:line="276" w:lineRule="auto"/>
              <w:ind w:left="317" w:hanging="283"/>
              <w:rPr>
                <w:rFonts w:ascii="Trebuchet MS" w:eastAsia="Times New Roman" w:hAnsi="Trebuchet MS"/>
              </w:rPr>
            </w:pPr>
            <w:r w:rsidRPr="00F433A8">
              <w:rPr>
                <w:rFonts w:ascii="Trebuchet MS" w:eastAsia="Times New Roman" w:hAnsi="Trebuchet MS"/>
              </w:rPr>
              <w:t>Accurate identification of challenges and best practice</w:t>
            </w:r>
          </w:p>
          <w:p w:rsidR="00F433A8" w:rsidRPr="00C857DB" w:rsidRDefault="00F433A8" w:rsidP="00C857DB">
            <w:pPr>
              <w:widowControl w:val="0"/>
              <w:numPr>
                <w:ilvl w:val="0"/>
                <w:numId w:val="5"/>
              </w:numPr>
              <w:spacing w:line="276" w:lineRule="auto"/>
              <w:ind w:left="317" w:hanging="283"/>
              <w:rPr>
                <w:rFonts w:ascii="Trebuchet MS" w:eastAsia="Times New Roman" w:hAnsi="Trebuchet MS"/>
              </w:rPr>
            </w:pPr>
            <w:r>
              <w:rPr>
                <w:rFonts w:ascii="Trebuchet MS" w:eastAsia="Times New Roman" w:hAnsi="Trebuchet MS"/>
              </w:rPr>
              <w:t>Analysis of the legislation in place in the three selected countries</w:t>
            </w:r>
          </w:p>
        </w:tc>
      </w:tr>
      <w:tr w:rsidR="00C857DB" w:rsidRPr="00C857DB" w:rsidTr="003A7C8B">
        <w:tc>
          <w:tcPr>
            <w:tcW w:w="4247" w:type="dxa"/>
          </w:tcPr>
          <w:p w:rsidR="00C857DB" w:rsidRPr="00C857DB" w:rsidRDefault="00C857DB" w:rsidP="00C857DB">
            <w:pPr>
              <w:spacing w:line="276" w:lineRule="auto"/>
              <w:rPr>
                <w:rFonts w:ascii="Trebuchet MS" w:eastAsia="Times New Roman" w:hAnsi="Trebuchet MS"/>
              </w:rPr>
            </w:pPr>
            <w:r>
              <w:rPr>
                <w:rFonts w:ascii="Trebuchet MS" w:eastAsia="Times New Roman" w:hAnsi="Trebuchet MS"/>
              </w:rPr>
              <w:t>c</w:t>
            </w:r>
            <w:r w:rsidRPr="00C857DB">
              <w:rPr>
                <w:rFonts w:ascii="Trebuchet MS" w:eastAsia="Times New Roman" w:hAnsi="Trebuchet MS"/>
              </w:rPr>
              <w:t>)</w:t>
            </w:r>
            <w:r>
              <w:rPr>
                <w:rFonts w:ascii="Trebuchet MS" w:eastAsia="Times New Roman" w:hAnsi="Trebuchet MS"/>
              </w:rPr>
              <w:t xml:space="preserve"> and d</w:t>
            </w:r>
            <w:r w:rsidRPr="00C857DB">
              <w:rPr>
                <w:rFonts w:ascii="Trebuchet MS" w:eastAsia="Times New Roman" w:hAnsi="Trebuchet MS"/>
              </w:rPr>
              <w:t>) Draft Guide</w:t>
            </w:r>
          </w:p>
        </w:tc>
        <w:tc>
          <w:tcPr>
            <w:tcW w:w="4768" w:type="dxa"/>
          </w:tcPr>
          <w:p w:rsidR="00C857DB" w:rsidRPr="00C857DB" w:rsidRDefault="00C857DB" w:rsidP="00C857DB">
            <w:pPr>
              <w:widowControl w:val="0"/>
              <w:numPr>
                <w:ilvl w:val="0"/>
                <w:numId w:val="5"/>
              </w:numPr>
              <w:spacing w:line="276" w:lineRule="auto"/>
              <w:ind w:left="317" w:hanging="283"/>
              <w:rPr>
                <w:rFonts w:ascii="Trebuchet MS" w:eastAsia="Times New Roman" w:hAnsi="Trebuchet MS"/>
              </w:rPr>
            </w:pPr>
            <w:r w:rsidRPr="00C857DB">
              <w:rPr>
                <w:rFonts w:ascii="Trebuchet MS" w:eastAsia="Times New Roman" w:hAnsi="Trebuchet MS"/>
              </w:rPr>
              <w:t xml:space="preserve">Technical precision and reflection </w:t>
            </w:r>
            <w:r w:rsidR="00F433A8">
              <w:rPr>
                <w:rFonts w:ascii="Trebuchet MS" w:eastAsia="Times New Roman" w:hAnsi="Trebuchet MS"/>
              </w:rPr>
              <w:t>of current practice in the implementation of international instruments on small arms and light weapons</w:t>
            </w:r>
          </w:p>
          <w:p w:rsidR="00C857DB" w:rsidRPr="00C857DB" w:rsidRDefault="00C857DB" w:rsidP="00C857DB">
            <w:pPr>
              <w:widowControl w:val="0"/>
              <w:numPr>
                <w:ilvl w:val="0"/>
                <w:numId w:val="5"/>
              </w:numPr>
              <w:spacing w:line="276" w:lineRule="auto"/>
              <w:ind w:left="317" w:hanging="283"/>
              <w:rPr>
                <w:rFonts w:ascii="Trebuchet MS" w:eastAsia="Times New Roman" w:hAnsi="Trebuchet MS"/>
              </w:rPr>
            </w:pPr>
            <w:r w:rsidRPr="00C857DB">
              <w:rPr>
                <w:rFonts w:ascii="Trebuchet MS" w:eastAsia="Times New Roman" w:hAnsi="Trebuchet MS"/>
              </w:rPr>
              <w:t xml:space="preserve">Laws </w:t>
            </w:r>
            <w:r w:rsidR="00F433A8">
              <w:rPr>
                <w:rFonts w:ascii="Trebuchet MS" w:eastAsia="Times New Roman" w:hAnsi="Trebuchet MS"/>
              </w:rPr>
              <w:t>on small arms and light weapons</w:t>
            </w:r>
            <w:r w:rsidRPr="00C857DB">
              <w:rPr>
                <w:rFonts w:ascii="Trebuchet MS" w:eastAsia="Times New Roman" w:hAnsi="Trebuchet MS"/>
              </w:rPr>
              <w:t xml:space="preserve"> identified for all, or the majority, of Commonwealth countries</w:t>
            </w:r>
            <w:r w:rsidR="00F433A8">
              <w:rPr>
                <w:rFonts w:ascii="Trebuchet MS" w:eastAsia="Times New Roman" w:hAnsi="Trebuchet MS"/>
              </w:rPr>
              <w:t xml:space="preserve"> (some data has already been collected by the Commonwealth Secretariat and the Small Arms Survey and will be made available to the consultant)</w:t>
            </w:r>
          </w:p>
          <w:p w:rsidR="00C857DB" w:rsidRPr="00C857DB" w:rsidRDefault="00C857DB" w:rsidP="00C857DB">
            <w:pPr>
              <w:widowControl w:val="0"/>
              <w:numPr>
                <w:ilvl w:val="0"/>
                <w:numId w:val="5"/>
              </w:numPr>
              <w:spacing w:line="276" w:lineRule="auto"/>
              <w:ind w:left="317" w:hanging="283"/>
              <w:rPr>
                <w:rFonts w:ascii="Trebuchet MS" w:eastAsia="Times New Roman" w:hAnsi="Trebuchet MS"/>
              </w:rPr>
            </w:pPr>
            <w:r w:rsidRPr="00C857DB">
              <w:rPr>
                <w:rFonts w:ascii="Trebuchet MS" w:eastAsia="Times New Roman" w:hAnsi="Trebuchet MS"/>
              </w:rPr>
              <w:t xml:space="preserve">Relevant national process and substantive legal examples identified and fully discussed. </w:t>
            </w:r>
          </w:p>
          <w:p w:rsidR="00C857DB" w:rsidRDefault="00C857DB" w:rsidP="00C857DB">
            <w:pPr>
              <w:widowControl w:val="0"/>
              <w:numPr>
                <w:ilvl w:val="0"/>
                <w:numId w:val="5"/>
              </w:numPr>
              <w:spacing w:line="276" w:lineRule="auto"/>
              <w:ind w:left="317" w:hanging="283"/>
              <w:rPr>
                <w:rFonts w:ascii="Trebuchet MS" w:eastAsia="Times New Roman" w:hAnsi="Trebuchet MS"/>
              </w:rPr>
            </w:pPr>
            <w:r w:rsidRPr="00C857DB">
              <w:rPr>
                <w:rFonts w:ascii="Trebuchet MS" w:eastAsia="Times New Roman" w:hAnsi="Trebuchet MS"/>
              </w:rPr>
              <w:t>Clear and policy-relevant analysis</w:t>
            </w:r>
          </w:p>
          <w:p w:rsidR="00F433A8" w:rsidRPr="00C857DB" w:rsidRDefault="00F433A8" w:rsidP="00C857DB">
            <w:pPr>
              <w:widowControl w:val="0"/>
              <w:numPr>
                <w:ilvl w:val="0"/>
                <w:numId w:val="5"/>
              </w:numPr>
              <w:spacing w:line="276" w:lineRule="auto"/>
              <w:ind w:left="317" w:hanging="283"/>
              <w:rPr>
                <w:rFonts w:ascii="Trebuchet MS" w:eastAsia="Times New Roman" w:hAnsi="Trebuchet MS"/>
              </w:rPr>
            </w:pPr>
            <w:r>
              <w:rPr>
                <w:rFonts w:ascii="Trebuchet MS" w:eastAsia="Times New Roman" w:hAnsi="Trebuchet MS"/>
              </w:rPr>
              <w:lastRenderedPageBreak/>
              <w:t>Good practice identified</w:t>
            </w:r>
          </w:p>
        </w:tc>
      </w:tr>
      <w:tr w:rsidR="00C857DB" w:rsidRPr="00C857DB" w:rsidTr="003A7C8B">
        <w:tc>
          <w:tcPr>
            <w:tcW w:w="4247" w:type="dxa"/>
          </w:tcPr>
          <w:p w:rsidR="00C857DB" w:rsidRPr="00C857DB" w:rsidRDefault="00F433A8" w:rsidP="00C857DB">
            <w:pPr>
              <w:spacing w:line="276" w:lineRule="auto"/>
              <w:rPr>
                <w:rFonts w:ascii="Trebuchet MS" w:eastAsia="Times New Roman" w:hAnsi="Trebuchet MS"/>
              </w:rPr>
            </w:pPr>
            <w:r>
              <w:rPr>
                <w:rFonts w:ascii="Trebuchet MS" w:eastAsia="Times New Roman" w:hAnsi="Trebuchet MS"/>
              </w:rPr>
              <w:lastRenderedPageBreak/>
              <w:t>e</w:t>
            </w:r>
            <w:r w:rsidR="00C857DB" w:rsidRPr="00C857DB">
              <w:rPr>
                <w:rFonts w:ascii="Trebuchet MS" w:eastAsia="Times New Roman" w:hAnsi="Trebuchet MS"/>
              </w:rPr>
              <w:t>) Final Guide</w:t>
            </w:r>
          </w:p>
        </w:tc>
        <w:tc>
          <w:tcPr>
            <w:tcW w:w="4768" w:type="dxa"/>
          </w:tcPr>
          <w:p w:rsidR="00C857DB" w:rsidRPr="00C857DB" w:rsidRDefault="00C857DB" w:rsidP="00C857DB">
            <w:pPr>
              <w:widowControl w:val="0"/>
              <w:numPr>
                <w:ilvl w:val="0"/>
                <w:numId w:val="6"/>
              </w:numPr>
              <w:spacing w:line="276" w:lineRule="auto"/>
              <w:ind w:left="317" w:hanging="283"/>
              <w:rPr>
                <w:rFonts w:ascii="Trebuchet MS" w:eastAsia="Times New Roman" w:hAnsi="Trebuchet MS"/>
              </w:rPr>
            </w:pPr>
            <w:r w:rsidRPr="00C857DB">
              <w:rPr>
                <w:rFonts w:ascii="Trebuchet MS" w:eastAsia="Times New Roman" w:hAnsi="Trebuchet MS"/>
              </w:rPr>
              <w:t>All Secretariat comments reflected appropriately</w:t>
            </w:r>
          </w:p>
          <w:p w:rsidR="00C857DB" w:rsidRPr="00C857DB" w:rsidRDefault="00C857DB" w:rsidP="00C857DB">
            <w:pPr>
              <w:widowControl w:val="0"/>
              <w:numPr>
                <w:ilvl w:val="0"/>
                <w:numId w:val="6"/>
              </w:numPr>
              <w:spacing w:line="276" w:lineRule="auto"/>
              <w:ind w:left="317" w:hanging="283"/>
              <w:rPr>
                <w:rFonts w:ascii="Trebuchet MS" w:eastAsia="Times New Roman" w:hAnsi="Trebuchet MS"/>
              </w:rPr>
            </w:pPr>
            <w:r w:rsidRPr="00C857DB">
              <w:rPr>
                <w:rFonts w:ascii="Trebuchet MS" w:eastAsia="Times New Roman" w:hAnsi="Trebuchet MS"/>
              </w:rPr>
              <w:t xml:space="preserve">Excellent plain English drafting style and suitability for audience of national level government officials, academics and policy makers </w:t>
            </w:r>
          </w:p>
          <w:p w:rsidR="00C857DB" w:rsidRPr="00C857DB" w:rsidRDefault="00C857DB" w:rsidP="00C857DB">
            <w:pPr>
              <w:widowControl w:val="0"/>
              <w:numPr>
                <w:ilvl w:val="0"/>
                <w:numId w:val="6"/>
              </w:numPr>
              <w:spacing w:line="276" w:lineRule="auto"/>
              <w:ind w:left="317" w:hanging="283"/>
              <w:rPr>
                <w:rFonts w:ascii="Trebuchet MS" w:eastAsia="Times New Roman" w:hAnsi="Trebuchet MS"/>
              </w:rPr>
            </w:pPr>
            <w:r w:rsidRPr="00C857DB">
              <w:rPr>
                <w:rFonts w:ascii="Trebuchet MS" w:eastAsia="Times New Roman" w:hAnsi="Trebuchet MS"/>
              </w:rPr>
              <w:t>Technical excellence</w:t>
            </w:r>
          </w:p>
        </w:tc>
      </w:tr>
    </w:tbl>
    <w:p w:rsidR="00C857DB" w:rsidRPr="00C857DB" w:rsidRDefault="00C857DB" w:rsidP="00C857DB">
      <w:pPr>
        <w:widowControl w:val="0"/>
        <w:spacing w:after="0" w:line="276" w:lineRule="auto"/>
        <w:ind w:left="720"/>
        <w:rPr>
          <w:rFonts w:ascii="Trebuchet MS" w:eastAsia="Times New Roman" w:hAnsi="Trebuchet MS" w:cs="Times New Roman"/>
          <w:b/>
        </w:rPr>
      </w:pPr>
    </w:p>
    <w:p w:rsidR="00C857DB" w:rsidRPr="00C857DB" w:rsidRDefault="00C857DB" w:rsidP="00C857DB">
      <w:pPr>
        <w:widowControl w:val="0"/>
        <w:numPr>
          <w:ilvl w:val="0"/>
          <w:numId w:val="3"/>
        </w:numPr>
        <w:tabs>
          <w:tab w:val="num" w:pos="426"/>
        </w:tabs>
        <w:spacing w:after="0" w:line="276" w:lineRule="auto"/>
        <w:ind w:left="426"/>
        <w:rPr>
          <w:rFonts w:ascii="Trebuchet MS" w:eastAsia="Times New Roman" w:hAnsi="Trebuchet MS" w:cs="Times New Roman"/>
          <w:b/>
        </w:rPr>
      </w:pPr>
      <w:r w:rsidRPr="00C857DB">
        <w:rPr>
          <w:rFonts w:ascii="Trebuchet MS" w:eastAsia="Times New Roman" w:hAnsi="Trebuchet MS" w:cs="Times New Roman"/>
          <w:b/>
        </w:rPr>
        <w:t>Qualifications/expertise sought (required educational background, years of relevant work experience, other special skills or knowledge required):</w:t>
      </w:r>
    </w:p>
    <w:p w:rsidR="00C857DB" w:rsidRPr="00C857DB" w:rsidRDefault="00C857DB" w:rsidP="00C857DB">
      <w:pPr>
        <w:widowControl w:val="0"/>
        <w:spacing w:after="0" w:line="276" w:lineRule="auto"/>
        <w:ind w:left="720"/>
        <w:rPr>
          <w:rFonts w:ascii="Trebuchet MS" w:eastAsia="Times New Roman" w:hAnsi="Trebuchet MS" w:cs="Times New Roman"/>
          <w:b/>
        </w:rPr>
      </w:pPr>
    </w:p>
    <w:p w:rsidR="00C857DB" w:rsidRPr="00C857DB" w:rsidRDefault="00C857DB" w:rsidP="00C857DB">
      <w:pPr>
        <w:widowControl w:val="0"/>
        <w:numPr>
          <w:ilvl w:val="0"/>
          <w:numId w:val="4"/>
        </w:numPr>
        <w:spacing w:after="0" w:line="276" w:lineRule="auto"/>
        <w:ind w:left="709"/>
        <w:jc w:val="both"/>
        <w:rPr>
          <w:rFonts w:ascii="Trebuchet MS" w:eastAsia="Times New Roman" w:hAnsi="Trebuchet MS" w:cs="Times New Roman"/>
        </w:rPr>
      </w:pPr>
      <w:r w:rsidRPr="00C857DB">
        <w:rPr>
          <w:rFonts w:ascii="Trebuchet MS" w:eastAsia="Times New Roman" w:hAnsi="Trebuchet MS" w:cs="Times New Roman"/>
        </w:rPr>
        <w:t>Degree in law. An advanced degree is an advantage;</w:t>
      </w:r>
    </w:p>
    <w:p w:rsidR="00C857DB" w:rsidRPr="00C857DB" w:rsidRDefault="00C857DB" w:rsidP="00C857DB">
      <w:pPr>
        <w:widowControl w:val="0"/>
        <w:numPr>
          <w:ilvl w:val="0"/>
          <w:numId w:val="4"/>
        </w:numPr>
        <w:spacing w:after="0" w:line="276" w:lineRule="auto"/>
        <w:ind w:left="709"/>
        <w:contextualSpacing/>
        <w:jc w:val="both"/>
        <w:rPr>
          <w:rFonts w:ascii="Trebuchet MS" w:eastAsia="Times New Roman" w:hAnsi="Trebuchet MS" w:cs="Times New Roman"/>
          <w:snapToGrid w:val="0"/>
        </w:rPr>
      </w:pPr>
      <w:r w:rsidRPr="00C857DB">
        <w:rPr>
          <w:rFonts w:ascii="Trebuchet MS" w:eastAsia="Times New Roman" w:hAnsi="Trebuchet MS" w:cs="Times New Roman"/>
          <w:snapToGrid w:val="0"/>
        </w:rPr>
        <w:t xml:space="preserve">Minimum of 15 years of professional expertise; </w:t>
      </w:r>
    </w:p>
    <w:p w:rsidR="002E6E69" w:rsidRDefault="00C857DB" w:rsidP="002E6E69">
      <w:pPr>
        <w:widowControl w:val="0"/>
        <w:numPr>
          <w:ilvl w:val="0"/>
          <w:numId w:val="4"/>
        </w:numPr>
        <w:spacing w:after="0" w:line="276" w:lineRule="auto"/>
        <w:ind w:left="709"/>
        <w:contextualSpacing/>
        <w:jc w:val="both"/>
        <w:rPr>
          <w:rFonts w:ascii="Trebuchet MS" w:eastAsia="Times New Roman" w:hAnsi="Trebuchet MS" w:cs="Times New Roman"/>
          <w:snapToGrid w:val="0"/>
        </w:rPr>
      </w:pPr>
      <w:r w:rsidRPr="00C857DB">
        <w:rPr>
          <w:rFonts w:ascii="Trebuchet MS" w:eastAsia="Times New Roman" w:hAnsi="Trebuchet MS" w:cs="Times New Roman"/>
          <w:snapToGrid w:val="0"/>
        </w:rPr>
        <w:t>Practical professional experience in provision of legal or policy advice, analysis and legal drafting;</w:t>
      </w:r>
    </w:p>
    <w:p w:rsidR="002E6E69" w:rsidRPr="002E6E69" w:rsidRDefault="002E6E69" w:rsidP="002E6E69">
      <w:pPr>
        <w:widowControl w:val="0"/>
        <w:numPr>
          <w:ilvl w:val="0"/>
          <w:numId w:val="4"/>
        </w:numPr>
        <w:spacing w:after="0" w:line="276" w:lineRule="auto"/>
        <w:ind w:left="709"/>
        <w:contextualSpacing/>
        <w:jc w:val="both"/>
        <w:rPr>
          <w:rFonts w:ascii="Trebuchet MS" w:eastAsia="Times New Roman" w:hAnsi="Trebuchet MS" w:cs="Times New Roman"/>
          <w:snapToGrid w:val="0"/>
        </w:rPr>
      </w:pPr>
      <w:r>
        <w:rPr>
          <w:rFonts w:ascii="Trebuchet MS" w:eastAsia="Times New Roman" w:hAnsi="Trebuchet MS" w:cs="Times New Roman"/>
          <w:snapToGrid w:val="0"/>
        </w:rPr>
        <w:t>E</w:t>
      </w:r>
      <w:r w:rsidRPr="002E6E69">
        <w:rPr>
          <w:rFonts w:ascii="Trebuchet MS" w:eastAsia="Times New Roman" w:hAnsi="Trebuchet MS" w:cs="Times New Roman"/>
          <w:snapToGrid w:val="0"/>
        </w:rPr>
        <w:t>xperience in particular on firearms, small arms or related security issues</w:t>
      </w:r>
      <w:r>
        <w:rPr>
          <w:rFonts w:ascii="Trebuchet MS" w:eastAsia="Times New Roman" w:hAnsi="Trebuchet MS" w:cs="Times New Roman"/>
          <w:snapToGrid w:val="0"/>
        </w:rPr>
        <w:t>;</w:t>
      </w:r>
    </w:p>
    <w:p w:rsidR="00C857DB" w:rsidRPr="00C857DB" w:rsidRDefault="00C857DB" w:rsidP="00C857DB">
      <w:pPr>
        <w:widowControl w:val="0"/>
        <w:numPr>
          <w:ilvl w:val="0"/>
          <w:numId w:val="4"/>
        </w:numPr>
        <w:spacing w:after="0" w:line="276" w:lineRule="auto"/>
        <w:ind w:left="709"/>
        <w:contextualSpacing/>
        <w:jc w:val="both"/>
        <w:rPr>
          <w:rFonts w:ascii="Trebuchet MS" w:eastAsia="Times New Roman" w:hAnsi="Trebuchet MS" w:cs="Times New Roman"/>
        </w:rPr>
      </w:pPr>
      <w:r w:rsidRPr="00C857DB">
        <w:rPr>
          <w:rFonts w:ascii="Trebuchet MS" w:eastAsia="Times New Roman" w:hAnsi="Trebuchet MS" w:cs="Times New Roman"/>
        </w:rPr>
        <w:t>Proven ability to network and establish collaborative relationships with a variety of actors;</w:t>
      </w:r>
    </w:p>
    <w:p w:rsidR="00C857DB" w:rsidRPr="00C857DB" w:rsidRDefault="00C857DB" w:rsidP="00C857DB">
      <w:pPr>
        <w:widowControl w:val="0"/>
        <w:numPr>
          <w:ilvl w:val="0"/>
          <w:numId w:val="4"/>
        </w:numPr>
        <w:spacing w:after="0" w:line="276" w:lineRule="auto"/>
        <w:ind w:left="709"/>
        <w:contextualSpacing/>
        <w:jc w:val="both"/>
        <w:rPr>
          <w:rFonts w:ascii="Trebuchet MS" w:eastAsia="Times New Roman" w:hAnsi="Trebuchet MS" w:cs="Times New Roman"/>
          <w:snapToGrid w:val="0"/>
        </w:rPr>
      </w:pPr>
      <w:r w:rsidRPr="00C857DB">
        <w:rPr>
          <w:rFonts w:ascii="Trebuchet MS" w:eastAsia="Times New Roman" w:hAnsi="Trebuchet MS" w:cs="Times New Roman"/>
          <w:snapToGrid w:val="0"/>
        </w:rPr>
        <w:t>Proven ability to work well under pressure and meet strict deadlines;</w:t>
      </w:r>
      <w:r w:rsidRPr="00C857DB" w:rsidDel="005D14AD">
        <w:rPr>
          <w:rFonts w:ascii="Trebuchet MS" w:eastAsia="Times New Roman" w:hAnsi="Trebuchet MS" w:cs="Times New Roman"/>
          <w:snapToGrid w:val="0"/>
        </w:rPr>
        <w:t xml:space="preserve"> </w:t>
      </w:r>
    </w:p>
    <w:p w:rsidR="00C857DB" w:rsidRDefault="00C857DB" w:rsidP="00C857DB">
      <w:pPr>
        <w:widowControl w:val="0"/>
        <w:numPr>
          <w:ilvl w:val="0"/>
          <w:numId w:val="4"/>
        </w:numPr>
        <w:spacing w:after="0" w:line="276" w:lineRule="auto"/>
        <w:ind w:left="709"/>
        <w:jc w:val="both"/>
        <w:rPr>
          <w:rFonts w:ascii="Trebuchet MS" w:eastAsia="Times New Roman" w:hAnsi="Trebuchet MS" w:cs="Times New Roman"/>
        </w:rPr>
      </w:pPr>
      <w:r w:rsidRPr="00C857DB">
        <w:rPr>
          <w:rFonts w:ascii="Trebuchet MS" w:eastAsia="Times New Roman" w:hAnsi="Trebuchet MS" w:cs="Times New Roman"/>
        </w:rPr>
        <w:t>Fluency in English;</w:t>
      </w:r>
    </w:p>
    <w:p w:rsidR="00F433A8" w:rsidRPr="00C857DB" w:rsidRDefault="00F433A8" w:rsidP="00C857DB">
      <w:pPr>
        <w:widowControl w:val="0"/>
        <w:numPr>
          <w:ilvl w:val="0"/>
          <w:numId w:val="4"/>
        </w:numPr>
        <w:spacing w:after="0" w:line="276" w:lineRule="auto"/>
        <w:ind w:left="709"/>
        <w:jc w:val="both"/>
        <w:rPr>
          <w:rFonts w:ascii="Trebuchet MS" w:eastAsia="Times New Roman" w:hAnsi="Trebuchet MS" w:cs="Times New Roman"/>
        </w:rPr>
      </w:pPr>
      <w:r>
        <w:rPr>
          <w:rFonts w:ascii="Trebuchet MS" w:eastAsia="Times New Roman" w:hAnsi="Trebuchet MS" w:cs="Times New Roman"/>
        </w:rPr>
        <w:t>Excellent writing skills;</w:t>
      </w:r>
    </w:p>
    <w:p w:rsidR="00C857DB" w:rsidRPr="00C857DB" w:rsidRDefault="00C857DB" w:rsidP="00C857DB">
      <w:pPr>
        <w:widowControl w:val="0"/>
        <w:numPr>
          <w:ilvl w:val="0"/>
          <w:numId w:val="4"/>
        </w:numPr>
        <w:spacing w:after="200" w:line="276" w:lineRule="auto"/>
        <w:ind w:left="709"/>
        <w:contextualSpacing/>
        <w:jc w:val="both"/>
        <w:rPr>
          <w:rFonts w:ascii="Trebuchet MS" w:eastAsia="Times New Roman" w:hAnsi="Trebuchet MS" w:cs="Times New Roman"/>
          <w:snapToGrid w:val="0"/>
        </w:rPr>
      </w:pPr>
      <w:r w:rsidRPr="00C857DB">
        <w:rPr>
          <w:rFonts w:ascii="Trebuchet MS" w:eastAsia="Times New Roman" w:hAnsi="Trebuchet MS" w:cs="Times New Roman"/>
          <w:snapToGrid w:val="0"/>
        </w:rPr>
        <w:t>Excellent organisational and evaluative skills;</w:t>
      </w:r>
    </w:p>
    <w:p w:rsidR="00C857DB" w:rsidRPr="00C857DB" w:rsidRDefault="00C857DB" w:rsidP="00C857DB">
      <w:pPr>
        <w:widowControl w:val="0"/>
        <w:numPr>
          <w:ilvl w:val="0"/>
          <w:numId w:val="4"/>
        </w:numPr>
        <w:spacing w:after="200" w:line="276" w:lineRule="auto"/>
        <w:ind w:left="709"/>
        <w:contextualSpacing/>
        <w:jc w:val="both"/>
        <w:rPr>
          <w:rFonts w:ascii="Trebuchet MS" w:eastAsia="Times New Roman" w:hAnsi="Trebuchet MS" w:cs="Times New Roman"/>
          <w:snapToGrid w:val="0"/>
        </w:rPr>
      </w:pPr>
      <w:r w:rsidRPr="00C857DB">
        <w:rPr>
          <w:rFonts w:ascii="Trebuchet MS" w:eastAsia="Times New Roman" w:hAnsi="Trebuchet MS" w:cs="Times New Roman"/>
          <w:snapToGrid w:val="0"/>
        </w:rPr>
        <w:t>Experience gained from work for international organisations is highly desirable.</w:t>
      </w:r>
    </w:p>
    <w:p w:rsidR="00C857DB" w:rsidRDefault="00C857DB" w:rsidP="00C857DB">
      <w:pPr>
        <w:spacing w:after="200" w:line="276" w:lineRule="auto"/>
        <w:ind w:left="709"/>
        <w:contextualSpacing/>
        <w:jc w:val="both"/>
        <w:rPr>
          <w:rFonts w:ascii="Trebuchet MS" w:eastAsia="Times New Roman" w:hAnsi="Trebuchet MS" w:cs="Times New Roman"/>
          <w:snapToGrid w:val="0"/>
        </w:rPr>
      </w:pPr>
    </w:p>
    <w:p w:rsidR="002E6E69" w:rsidRDefault="002E6E69" w:rsidP="00C857DB">
      <w:pPr>
        <w:spacing w:after="200" w:line="276" w:lineRule="auto"/>
        <w:ind w:left="709"/>
        <w:contextualSpacing/>
        <w:jc w:val="both"/>
        <w:rPr>
          <w:rFonts w:ascii="Trebuchet MS" w:eastAsia="Times New Roman" w:hAnsi="Trebuchet MS" w:cs="Times New Roman"/>
          <w:snapToGrid w:val="0"/>
        </w:rPr>
      </w:pPr>
    </w:p>
    <w:p w:rsidR="002E6E69" w:rsidRPr="00C857DB" w:rsidRDefault="002E6E69" w:rsidP="00C857DB">
      <w:pPr>
        <w:spacing w:after="200" w:line="276" w:lineRule="auto"/>
        <w:ind w:left="709"/>
        <w:contextualSpacing/>
        <w:jc w:val="both"/>
        <w:rPr>
          <w:rFonts w:ascii="Trebuchet MS" w:eastAsia="Times New Roman" w:hAnsi="Trebuchet MS" w:cs="Times New Roman"/>
          <w:snapToGrid w:val="0"/>
        </w:rPr>
      </w:pPr>
    </w:p>
    <w:p w:rsidR="00C857DB" w:rsidRPr="00C857DB" w:rsidRDefault="00C857DB" w:rsidP="00C857DB">
      <w:pPr>
        <w:widowControl w:val="0"/>
        <w:numPr>
          <w:ilvl w:val="0"/>
          <w:numId w:val="3"/>
        </w:numPr>
        <w:tabs>
          <w:tab w:val="num" w:pos="426"/>
        </w:tabs>
        <w:spacing w:after="0" w:line="276" w:lineRule="auto"/>
        <w:ind w:left="426"/>
        <w:rPr>
          <w:rFonts w:ascii="Trebuchet MS" w:eastAsia="Times New Roman" w:hAnsi="Trebuchet MS" w:cs="Times New Roman"/>
          <w:b/>
        </w:rPr>
      </w:pPr>
      <w:r w:rsidRPr="00C857DB">
        <w:rPr>
          <w:rFonts w:ascii="Trebuchet MS" w:eastAsia="Times New Roman" w:hAnsi="Trebuchet MS" w:cs="Times New Roman"/>
          <w:b/>
        </w:rPr>
        <w:t>Administrative arrangements</w:t>
      </w:r>
    </w:p>
    <w:p w:rsidR="00C857DB" w:rsidRPr="00C857DB" w:rsidRDefault="00C857DB" w:rsidP="00C857DB">
      <w:pPr>
        <w:widowControl w:val="0"/>
        <w:spacing w:after="0" w:line="276" w:lineRule="auto"/>
        <w:jc w:val="both"/>
        <w:rPr>
          <w:rFonts w:ascii="Trebuchet MS" w:eastAsia="Times New Roman" w:hAnsi="Trebuchet MS" w:cs="Times New Roman"/>
          <w:b/>
        </w:rPr>
      </w:pPr>
    </w:p>
    <w:p w:rsidR="00C857DB" w:rsidRPr="00C857DB" w:rsidRDefault="00C857DB" w:rsidP="00C857DB">
      <w:pPr>
        <w:widowControl w:val="0"/>
        <w:spacing w:after="0" w:line="276" w:lineRule="auto"/>
        <w:jc w:val="both"/>
        <w:rPr>
          <w:rFonts w:ascii="Trebuchet MS" w:eastAsia="Times New Roman" w:hAnsi="Trebuchet MS" w:cs="Times New Roman"/>
        </w:rPr>
      </w:pPr>
      <w:r w:rsidRPr="00C857DB">
        <w:rPr>
          <w:rFonts w:ascii="Trebuchet MS" w:eastAsia="Times New Roman" w:hAnsi="Trebuchet MS" w:cs="Times New Roman"/>
        </w:rPr>
        <w:t xml:space="preserve">The assigned tasks are to be performed on a part-time, remote basis in a total work time of </w:t>
      </w:r>
      <w:r w:rsidR="002E6E69">
        <w:rPr>
          <w:rFonts w:ascii="Trebuchet MS" w:eastAsia="Times New Roman" w:hAnsi="Trebuchet MS" w:cs="Times New Roman"/>
        </w:rPr>
        <w:t>21</w:t>
      </w:r>
      <w:r w:rsidR="00E9424E">
        <w:rPr>
          <w:rFonts w:ascii="Trebuchet MS" w:eastAsia="Times New Roman" w:hAnsi="Trebuchet MS" w:cs="Times New Roman"/>
        </w:rPr>
        <w:t xml:space="preserve"> </w:t>
      </w:r>
      <w:r w:rsidRPr="00C857DB">
        <w:rPr>
          <w:rFonts w:ascii="Trebuchet MS" w:eastAsia="Times New Roman" w:hAnsi="Trebuchet MS" w:cs="Times New Roman"/>
        </w:rPr>
        <w:t>weeks.</w:t>
      </w:r>
    </w:p>
    <w:p w:rsidR="00C857DB" w:rsidRPr="00C857DB" w:rsidRDefault="00C857DB" w:rsidP="00C857DB">
      <w:pPr>
        <w:widowControl w:val="0"/>
        <w:spacing w:after="0" w:line="276" w:lineRule="auto"/>
        <w:jc w:val="both"/>
        <w:rPr>
          <w:rFonts w:ascii="Trebuchet MS" w:eastAsia="Times New Roman" w:hAnsi="Trebuchet MS" w:cs="Times New Roman"/>
        </w:rPr>
      </w:pPr>
    </w:p>
    <w:p w:rsidR="00C857DB" w:rsidRPr="00C857DB" w:rsidRDefault="00C857DB" w:rsidP="00C857DB">
      <w:pPr>
        <w:widowControl w:val="0"/>
        <w:spacing w:after="0" w:line="276" w:lineRule="auto"/>
        <w:jc w:val="both"/>
        <w:rPr>
          <w:rFonts w:ascii="Trebuchet MS" w:eastAsia="Times New Roman" w:hAnsi="Trebuchet MS" w:cs="Times New Roman"/>
        </w:rPr>
      </w:pPr>
      <w:r w:rsidRPr="00C857DB">
        <w:rPr>
          <w:rFonts w:ascii="Trebuchet MS" w:eastAsia="Times New Roman" w:hAnsi="Trebuchet MS" w:cs="Times New Roman"/>
        </w:rPr>
        <w:t>The consultant will receive payments in the total amount of GBP</w:t>
      </w:r>
      <w:r w:rsidR="00E9424E">
        <w:rPr>
          <w:rFonts w:ascii="Trebuchet MS" w:eastAsia="Times New Roman" w:hAnsi="Trebuchet MS" w:cs="Times New Roman"/>
        </w:rPr>
        <w:t xml:space="preserve"> </w:t>
      </w:r>
      <w:r w:rsidR="002E6E69">
        <w:rPr>
          <w:rFonts w:ascii="Trebuchet MS" w:eastAsia="Times New Roman" w:hAnsi="Trebuchet MS" w:cs="Times New Roman"/>
        </w:rPr>
        <w:t>3</w:t>
      </w:r>
      <w:r w:rsidR="00E9424E">
        <w:rPr>
          <w:rFonts w:ascii="Trebuchet MS" w:eastAsia="Times New Roman" w:hAnsi="Trebuchet MS" w:cs="Times New Roman"/>
        </w:rPr>
        <w:t>0</w:t>
      </w:r>
      <w:r w:rsidRPr="00C857DB">
        <w:rPr>
          <w:rFonts w:ascii="Trebuchet MS" w:eastAsia="Times New Roman" w:hAnsi="Trebuchet MS" w:cs="Times New Roman"/>
        </w:rPr>
        <w:t xml:space="preserve">,000 on a payment schedule, and in accordance with, the terms of the consultancy offer letter. </w:t>
      </w:r>
      <w:r w:rsidR="00E9424E">
        <w:rPr>
          <w:rFonts w:ascii="Trebuchet MS" w:eastAsia="Times New Roman" w:hAnsi="Trebuchet MS" w:cs="Times New Roman"/>
        </w:rPr>
        <w:t>In addition, the Commonwealth Secretariat will cover travel expenses for the country assessments, including return economy flight</w:t>
      </w:r>
      <w:r w:rsidR="00B65306">
        <w:rPr>
          <w:rFonts w:ascii="Trebuchet MS" w:eastAsia="Times New Roman" w:hAnsi="Trebuchet MS" w:cs="Times New Roman"/>
        </w:rPr>
        <w:t>s</w:t>
      </w:r>
      <w:r w:rsidR="00E9424E">
        <w:rPr>
          <w:rFonts w:ascii="Trebuchet MS" w:eastAsia="Times New Roman" w:hAnsi="Trebuchet MS" w:cs="Times New Roman"/>
        </w:rPr>
        <w:t xml:space="preserve">, </w:t>
      </w:r>
      <w:r w:rsidR="00B65306">
        <w:rPr>
          <w:rFonts w:ascii="Trebuchet MS" w:eastAsia="Times New Roman" w:hAnsi="Trebuchet MS" w:cs="Times New Roman"/>
        </w:rPr>
        <w:t>accommodation and daily subsistence allowance.</w:t>
      </w:r>
    </w:p>
    <w:p w:rsidR="000E0645" w:rsidRPr="00C857DB" w:rsidRDefault="000E0645" w:rsidP="000E0645">
      <w:pPr>
        <w:rPr>
          <w:rFonts w:ascii="Trebuchet MS" w:hAnsi="Trebuchet MS"/>
        </w:rPr>
      </w:pPr>
      <w:r w:rsidRPr="00C857DB">
        <w:rPr>
          <w:rFonts w:ascii="Trebuchet MS" w:hAnsi="Trebuchet MS"/>
        </w:rPr>
        <w:t xml:space="preserve">   </w:t>
      </w:r>
    </w:p>
    <w:sectPr w:rsidR="000E0645" w:rsidRPr="00C857DB" w:rsidSect="00877A42">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7AAC" w:rsidRDefault="00427AAC" w:rsidP="00427AAC">
      <w:pPr>
        <w:spacing w:after="0" w:line="240" w:lineRule="auto"/>
      </w:pPr>
      <w:r>
        <w:separator/>
      </w:r>
    </w:p>
  </w:endnote>
  <w:endnote w:type="continuationSeparator" w:id="0">
    <w:p w:rsidR="00427AAC" w:rsidRDefault="00427AAC" w:rsidP="00427A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E11" w:rsidRDefault="005B3E1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2499515"/>
      <w:docPartObj>
        <w:docPartGallery w:val="Page Numbers (Bottom of Page)"/>
        <w:docPartUnique/>
      </w:docPartObj>
    </w:sdtPr>
    <w:sdtEndPr>
      <w:rPr>
        <w:noProof/>
      </w:rPr>
    </w:sdtEndPr>
    <w:sdtContent>
      <w:p w:rsidR="005B3E11" w:rsidRDefault="005B3E11">
        <w:pPr>
          <w:pStyle w:val="Footer"/>
          <w:jc w:val="center"/>
        </w:pPr>
        <w:r>
          <w:fldChar w:fldCharType="begin"/>
        </w:r>
        <w:r>
          <w:instrText xml:space="preserve"> PAGE   \* MERGEFORMAT </w:instrText>
        </w:r>
        <w:r>
          <w:fldChar w:fldCharType="separate"/>
        </w:r>
        <w:r w:rsidR="009F6328">
          <w:rPr>
            <w:noProof/>
          </w:rPr>
          <w:t>4</w:t>
        </w:r>
        <w:r>
          <w:rPr>
            <w:noProof/>
          </w:rPr>
          <w:fldChar w:fldCharType="end"/>
        </w:r>
      </w:p>
    </w:sdtContent>
  </w:sdt>
  <w:p w:rsidR="005B3E11" w:rsidRDefault="005B3E11">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E11" w:rsidRDefault="005B3E1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7AAC" w:rsidRDefault="00427AAC" w:rsidP="00427AAC">
      <w:pPr>
        <w:spacing w:after="0" w:line="240" w:lineRule="auto"/>
      </w:pPr>
      <w:r>
        <w:separator/>
      </w:r>
    </w:p>
  </w:footnote>
  <w:footnote w:type="continuationSeparator" w:id="0">
    <w:p w:rsidR="00427AAC" w:rsidRDefault="00427AAC" w:rsidP="00427A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E11" w:rsidRDefault="005B3E1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E11" w:rsidRDefault="005B3E11">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A42" w:rsidRDefault="00877A42">
    <w:pPr>
      <w:pStyle w:val="Header"/>
    </w:pPr>
    <w:r>
      <w:rPr>
        <w:noProof/>
        <w:lang w:eastAsia="en-GB"/>
      </w:rPr>
      <w:drawing>
        <wp:anchor distT="0" distB="0" distL="114300" distR="114300" simplePos="0" relativeHeight="251659264" behindDoc="0" locked="0" layoutInCell="1" allowOverlap="1" wp14:anchorId="54CC70DD" wp14:editId="4212B935">
          <wp:simplePos x="0" y="0"/>
          <wp:positionH relativeFrom="margin">
            <wp:posOffset>0</wp:posOffset>
          </wp:positionH>
          <wp:positionV relativeFrom="topMargin">
            <wp:posOffset>448945</wp:posOffset>
          </wp:positionV>
          <wp:extent cx="2426793" cy="609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
                    <a:extLst>
                      <a:ext uri="{28A0092B-C50C-407E-A947-70E740481C1C}">
                        <a14:useLocalDpi xmlns:a14="http://schemas.microsoft.com/office/drawing/2010/main" val="0"/>
                      </a:ext>
                    </a:extLst>
                  </a:blip>
                  <a:srcRect l="12767" t="27864" r="12308" b="27864"/>
                  <a:stretch>
                    <a:fillRect/>
                  </a:stretch>
                </pic:blipFill>
                <pic:spPr bwMode="auto">
                  <a:xfrm>
                    <a:off x="0" y="0"/>
                    <a:ext cx="2458823" cy="61764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428F0"/>
    <w:multiLevelType w:val="hybridMultilevel"/>
    <w:tmpl w:val="959277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9BA56E5"/>
    <w:multiLevelType w:val="hybridMultilevel"/>
    <w:tmpl w:val="80AEF54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1301BF"/>
    <w:multiLevelType w:val="hybridMultilevel"/>
    <w:tmpl w:val="524A3564"/>
    <w:lvl w:ilvl="0" w:tplc="0409000F">
      <w:start w:val="5"/>
      <w:numFmt w:val="decimal"/>
      <w:lvlText w:val="%1."/>
      <w:lvlJc w:val="left"/>
      <w:pPr>
        <w:tabs>
          <w:tab w:val="num" w:pos="720"/>
        </w:tabs>
        <w:ind w:left="720" w:hanging="360"/>
      </w:pPr>
      <w:rPr>
        <w:rFonts w:cs="Times New Roman" w:hint="default"/>
      </w:r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CEC3F5A"/>
    <w:multiLevelType w:val="hybridMultilevel"/>
    <w:tmpl w:val="3F74C20E"/>
    <w:lvl w:ilvl="0" w:tplc="CC5C9136">
      <w:numFmt w:val="bullet"/>
      <w:lvlText w:val="•"/>
      <w:lvlJc w:val="left"/>
      <w:pPr>
        <w:ind w:left="1080" w:hanging="72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7C271B"/>
    <w:multiLevelType w:val="hybridMultilevel"/>
    <w:tmpl w:val="E3001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E35626"/>
    <w:multiLevelType w:val="hybridMultilevel"/>
    <w:tmpl w:val="50B6D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57432F"/>
    <w:multiLevelType w:val="hybridMultilevel"/>
    <w:tmpl w:val="6C741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
  </w:num>
  <w:num w:numId="4">
    <w:abstractNumId w:val="0"/>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645"/>
    <w:rsid w:val="000E0645"/>
    <w:rsid w:val="0012533A"/>
    <w:rsid w:val="001A7B9C"/>
    <w:rsid w:val="001D7CFF"/>
    <w:rsid w:val="002D4629"/>
    <w:rsid w:val="002E6E69"/>
    <w:rsid w:val="003238AB"/>
    <w:rsid w:val="00327FA8"/>
    <w:rsid w:val="003B6BBE"/>
    <w:rsid w:val="00427AAC"/>
    <w:rsid w:val="00465DE0"/>
    <w:rsid w:val="004C64E5"/>
    <w:rsid w:val="00501028"/>
    <w:rsid w:val="005259B9"/>
    <w:rsid w:val="005B3E11"/>
    <w:rsid w:val="005E5B4A"/>
    <w:rsid w:val="006A45CA"/>
    <w:rsid w:val="007F4ED6"/>
    <w:rsid w:val="00825337"/>
    <w:rsid w:val="0085403C"/>
    <w:rsid w:val="00877A42"/>
    <w:rsid w:val="00915D6B"/>
    <w:rsid w:val="009F6328"/>
    <w:rsid w:val="00A42DBB"/>
    <w:rsid w:val="00A42E7B"/>
    <w:rsid w:val="00B5156F"/>
    <w:rsid w:val="00B65306"/>
    <w:rsid w:val="00BB22DA"/>
    <w:rsid w:val="00BC152B"/>
    <w:rsid w:val="00C22360"/>
    <w:rsid w:val="00C22C33"/>
    <w:rsid w:val="00C857DB"/>
    <w:rsid w:val="00E0404B"/>
    <w:rsid w:val="00E61686"/>
    <w:rsid w:val="00E9424E"/>
    <w:rsid w:val="00F1301C"/>
    <w:rsid w:val="00F273C6"/>
    <w:rsid w:val="00F433A8"/>
    <w:rsid w:val="00F735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79995F7"/>
  <w15:chartTrackingRefBased/>
  <w15:docId w15:val="{A85A8FB5-D82F-4E2B-9AB0-5B25374DD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7A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7AAC"/>
  </w:style>
  <w:style w:type="paragraph" w:styleId="Footer">
    <w:name w:val="footer"/>
    <w:basedOn w:val="Normal"/>
    <w:link w:val="FooterChar"/>
    <w:uiPriority w:val="99"/>
    <w:unhideWhenUsed/>
    <w:rsid w:val="00427A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7AAC"/>
  </w:style>
  <w:style w:type="paragraph" w:styleId="ListParagraph">
    <w:name w:val="List Paragraph"/>
    <w:basedOn w:val="Normal"/>
    <w:uiPriority w:val="34"/>
    <w:qFormat/>
    <w:rsid w:val="00877A42"/>
    <w:pPr>
      <w:ind w:left="720"/>
      <w:contextualSpacing/>
    </w:pPr>
  </w:style>
  <w:style w:type="table" w:styleId="TableGrid">
    <w:name w:val="Table Grid"/>
    <w:basedOn w:val="TableNormal"/>
    <w:rsid w:val="00C857DB"/>
    <w:pPr>
      <w:spacing w:after="0" w:line="240" w:lineRule="auto"/>
    </w:pPr>
    <w:rPr>
      <w:rFonts w:ascii="Calibri" w:eastAsia="Calibri" w:hAnsi="Calibri"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253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53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B1F0B9-E462-44AD-9BB7-CB1467311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4</Pages>
  <Words>1322</Words>
  <Characters>7538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Teamasg</dc:creator>
  <cp:keywords/>
  <dc:description/>
  <cp:lastModifiedBy>Banjoko, Jumy</cp:lastModifiedBy>
  <cp:revision>6</cp:revision>
  <cp:lastPrinted>2018-10-25T10:46:00Z</cp:lastPrinted>
  <dcterms:created xsi:type="dcterms:W3CDTF">2018-10-15T10:07:00Z</dcterms:created>
  <dcterms:modified xsi:type="dcterms:W3CDTF">2018-11-01T11:41:00Z</dcterms:modified>
</cp:coreProperties>
</file>